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23C42" w14:textId="77777777" w:rsidR="005526B1" w:rsidRDefault="005526B1" w:rsidP="005526B1">
      <w:pPr>
        <w:rPr>
          <w:b/>
          <w:bCs/>
          <w:sz w:val="28"/>
          <w:szCs w:val="28"/>
        </w:rPr>
      </w:pPr>
      <w:r w:rsidRPr="005526B1">
        <w:rPr>
          <w:rFonts w:ascii="Segoe UI Emoji" w:hAnsi="Segoe UI Emoji" w:cs="Segoe UI Emoji"/>
          <w:b/>
          <w:bCs/>
          <w:sz w:val="28"/>
          <w:szCs w:val="28"/>
        </w:rPr>
        <w:t>🎤</w:t>
      </w:r>
      <w:r w:rsidRPr="005526B1">
        <w:rPr>
          <w:b/>
          <w:bCs/>
          <w:sz w:val="28"/>
          <w:szCs w:val="28"/>
        </w:rPr>
        <w:t xml:space="preserve"> Three Related Financial Formulas That Changed the World… and How We Could Update Them for Climate Change</w:t>
      </w:r>
    </w:p>
    <w:p w14:paraId="610E5421" w14:textId="77777777" w:rsidR="005526B1" w:rsidRDefault="005526B1" w:rsidP="005526B1">
      <w:pPr>
        <w:rPr>
          <w:b/>
          <w:bCs/>
          <w:sz w:val="28"/>
          <w:szCs w:val="28"/>
        </w:rPr>
      </w:pPr>
    </w:p>
    <w:p w14:paraId="0BCF49BF" w14:textId="77777777" w:rsidR="005526B1" w:rsidRPr="005526B1" w:rsidRDefault="005526B1" w:rsidP="005526B1">
      <w:pPr>
        <w:rPr>
          <w:b/>
          <w:bCs/>
          <w:sz w:val="28"/>
          <w:szCs w:val="28"/>
        </w:rPr>
      </w:pPr>
    </w:p>
    <w:p w14:paraId="63DEB293" w14:textId="77777777" w:rsidR="005526B1" w:rsidRDefault="00681AF0" w:rsidP="005526B1">
      <w:r>
        <w:pict w14:anchorId="15357E91">
          <v:rect id="_x0000_i1025" style="width:0;height:1.5pt" o:hralign="center" o:hrstd="t" o:hr="t" fillcolor="#a0a0a0" stroked="f"/>
        </w:pict>
      </w:r>
    </w:p>
    <w:p w14:paraId="315ECDB9" w14:textId="77777777" w:rsidR="005526B1" w:rsidRPr="005526B1" w:rsidRDefault="005526B1" w:rsidP="005526B1">
      <w:pPr>
        <w:rPr>
          <w:b/>
          <w:bCs/>
        </w:rPr>
      </w:pPr>
      <w:r w:rsidRPr="005526B1">
        <w:rPr>
          <w:rFonts w:ascii="Segoe UI Emoji" w:hAnsi="Segoe UI Emoji" w:cs="Segoe UI Emoji"/>
          <w:b/>
          <w:bCs/>
        </w:rPr>
        <w:t>🔹</w:t>
      </w:r>
      <w:r w:rsidRPr="005526B1">
        <w:rPr>
          <w:b/>
          <w:bCs/>
        </w:rPr>
        <w:t xml:space="preserve"> 0. Why This Matters — Especially If You Don’t Like Banks</w:t>
      </w:r>
    </w:p>
    <w:p w14:paraId="1D0707A1" w14:textId="77777777" w:rsidR="005526B1" w:rsidRPr="005526B1" w:rsidRDefault="005526B1" w:rsidP="005526B1">
      <w:r w:rsidRPr="005526B1">
        <w:t>“Let me start with a provocation: If you care about climate change, you should care about how banks work.”</w:t>
      </w:r>
    </w:p>
    <w:p w14:paraId="31BC61AA" w14:textId="77777777" w:rsidR="005526B1" w:rsidRPr="005526B1" w:rsidRDefault="00681AF0" w:rsidP="005526B1">
      <w:r>
        <w:pict w14:anchorId="7F850720">
          <v:rect id="_x0000_i1026" style="width:0;height:1.5pt" o:hralign="center" o:hrstd="t" o:hr="t" fillcolor="#a0a0a0" stroked="f"/>
        </w:pict>
      </w:r>
    </w:p>
    <w:p w14:paraId="22FB76C0" w14:textId="77777777" w:rsidR="005526B1" w:rsidRPr="005526B1" w:rsidRDefault="005526B1" w:rsidP="005526B1">
      <w:pPr>
        <w:rPr>
          <w:b/>
          <w:bCs/>
        </w:rPr>
      </w:pPr>
      <w:r w:rsidRPr="005526B1">
        <w:rPr>
          <w:rFonts w:ascii="Segoe UI Emoji" w:hAnsi="Segoe UI Emoji" w:cs="Segoe UI Emoji"/>
          <w:b/>
          <w:bCs/>
        </w:rPr>
        <w:t>💬</w:t>
      </w:r>
      <w:r w:rsidRPr="005526B1">
        <w:rPr>
          <w:b/>
          <w:bCs/>
        </w:rPr>
        <w:t xml:space="preserve"> Why?</w:t>
      </w:r>
    </w:p>
    <w:p w14:paraId="24075BE0" w14:textId="77777777" w:rsidR="005526B1" w:rsidRPr="005526B1" w:rsidRDefault="005526B1" w:rsidP="005526B1">
      <w:r w:rsidRPr="005526B1">
        <w:t xml:space="preserve">Because </w:t>
      </w:r>
      <w:r w:rsidRPr="005526B1">
        <w:rPr>
          <w:b/>
          <w:bCs/>
        </w:rPr>
        <w:t>banks decide where capital goes.</w:t>
      </w:r>
      <w:r w:rsidRPr="005526B1">
        <w:br/>
        <w:t xml:space="preserve">And </w:t>
      </w:r>
      <w:r w:rsidRPr="005526B1">
        <w:rPr>
          <w:b/>
          <w:bCs/>
        </w:rPr>
        <w:t>where capital goes determines what gets built</w:t>
      </w:r>
      <w:r w:rsidRPr="005526B1">
        <w:t>.</w:t>
      </w:r>
    </w:p>
    <w:p w14:paraId="495C55B9" w14:textId="77777777" w:rsidR="005526B1" w:rsidRPr="005526B1" w:rsidRDefault="005526B1" w:rsidP="005526B1">
      <w:r w:rsidRPr="005526B1">
        <w:t xml:space="preserve">“Every solar panel, every wind turbine, every gas pipeline — someone had to finance it. Or decide </w:t>
      </w:r>
      <w:r w:rsidRPr="005526B1">
        <w:rPr>
          <w:i/>
          <w:iCs/>
        </w:rPr>
        <w:t>not</w:t>
      </w:r>
      <w:r w:rsidRPr="005526B1">
        <w:t xml:space="preserve"> to.”</w:t>
      </w:r>
    </w:p>
    <w:p w14:paraId="765180A2" w14:textId="77777777" w:rsidR="005526B1" w:rsidRPr="005526B1" w:rsidRDefault="005526B1" w:rsidP="005526B1">
      <w:r w:rsidRPr="005526B1">
        <w:t xml:space="preserve">Banks and investors may not </w:t>
      </w:r>
      <w:r w:rsidRPr="005526B1">
        <w:rPr>
          <w:i/>
          <w:iCs/>
        </w:rPr>
        <w:t>talk</w:t>
      </w:r>
      <w:r w:rsidRPr="005526B1">
        <w:t xml:space="preserve"> about emissions. But their lending decisions either </w:t>
      </w:r>
      <w:r w:rsidRPr="005526B1">
        <w:rPr>
          <w:b/>
          <w:bCs/>
        </w:rPr>
        <w:t>lock in carbon</w:t>
      </w:r>
      <w:r w:rsidRPr="005526B1">
        <w:t xml:space="preserve"> or </w:t>
      </w:r>
      <w:r w:rsidRPr="005526B1">
        <w:rPr>
          <w:b/>
          <w:bCs/>
        </w:rPr>
        <w:t>enable the transition</w:t>
      </w:r>
      <w:r w:rsidRPr="005526B1">
        <w:t>.</w:t>
      </w:r>
    </w:p>
    <w:p w14:paraId="2FC0AC4E" w14:textId="77777777" w:rsidR="005526B1" w:rsidRPr="005526B1" w:rsidRDefault="00681AF0" w:rsidP="005526B1">
      <w:r>
        <w:pict w14:anchorId="2D6F50E9">
          <v:rect id="_x0000_i1027" style="width:0;height:1.5pt" o:hralign="center" o:hrstd="t" o:hr="t" fillcolor="#a0a0a0" stroked="f"/>
        </w:pict>
      </w:r>
    </w:p>
    <w:p w14:paraId="0D9F0415" w14:textId="77777777" w:rsidR="005526B1" w:rsidRPr="005526B1" w:rsidRDefault="005526B1" w:rsidP="005526B1">
      <w:pPr>
        <w:rPr>
          <w:b/>
          <w:bCs/>
        </w:rPr>
      </w:pPr>
      <w:r w:rsidRPr="005526B1">
        <w:rPr>
          <w:rFonts w:ascii="Segoe UI Emoji" w:hAnsi="Segoe UI Emoji" w:cs="Segoe UI Emoji"/>
          <w:b/>
          <w:bCs/>
        </w:rPr>
        <w:t>🏦</w:t>
      </w:r>
      <w:r w:rsidRPr="005526B1">
        <w:rPr>
          <w:b/>
          <w:bCs/>
        </w:rPr>
        <w:t xml:space="preserve"> Why does this system deserve our attention?</w:t>
      </w:r>
    </w:p>
    <w:p w14:paraId="286C41A4" w14:textId="77777777" w:rsidR="005526B1" w:rsidRPr="005526B1" w:rsidRDefault="005526B1" w:rsidP="005526B1">
      <w:r w:rsidRPr="005526B1">
        <w:t>You may not love banks. That’s fair.</w:t>
      </w:r>
    </w:p>
    <w:p w14:paraId="5C1F0A44" w14:textId="77777777" w:rsidR="005526B1" w:rsidRPr="005526B1" w:rsidRDefault="005526B1" w:rsidP="005526B1">
      <w:r w:rsidRPr="005526B1">
        <w:t>But here’s the reality:</w:t>
      </w:r>
    </w:p>
    <w:p w14:paraId="2DD9BCCE" w14:textId="77777777" w:rsidR="005526B1" w:rsidRPr="005526B1" w:rsidRDefault="005526B1" w:rsidP="005526B1">
      <w:pPr>
        <w:numPr>
          <w:ilvl w:val="0"/>
          <w:numId w:val="14"/>
        </w:numPr>
      </w:pPr>
      <w:r w:rsidRPr="005526B1">
        <w:t xml:space="preserve">Banks </w:t>
      </w:r>
      <w:r w:rsidRPr="005526B1">
        <w:rPr>
          <w:b/>
          <w:bCs/>
        </w:rPr>
        <w:t>allocate trillions</w:t>
      </w:r>
      <w:r w:rsidRPr="005526B1">
        <w:t>, often based on internal risk models.</w:t>
      </w:r>
    </w:p>
    <w:p w14:paraId="152CE61B" w14:textId="77777777" w:rsidR="005526B1" w:rsidRPr="005526B1" w:rsidRDefault="005526B1" w:rsidP="005526B1">
      <w:pPr>
        <w:numPr>
          <w:ilvl w:val="0"/>
          <w:numId w:val="14"/>
        </w:numPr>
      </w:pPr>
      <w:r w:rsidRPr="005526B1">
        <w:t xml:space="preserve">These models influence </w:t>
      </w:r>
      <w:r w:rsidRPr="005526B1">
        <w:rPr>
          <w:b/>
          <w:bCs/>
        </w:rPr>
        <w:t>who gets funding</w:t>
      </w:r>
      <w:r w:rsidRPr="005526B1">
        <w:t>, at what cost, and for how long.</w:t>
      </w:r>
    </w:p>
    <w:p w14:paraId="76846748" w14:textId="77777777" w:rsidR="005526B1" w:rsidRPr="005526B1" w:rsidRDefault="005526B1" w:rsidP="005526B1">
      <w:pPr>
        <w:numPr>
          <w:ilvl w:val="0"/>
          <w:numId w:val="14"/>
        </w:numPr>
      </w:pPr>
      <w:r w:rsidRPr="005526B1">
        <w:t xml:space="preserve">The system </w:t>
      </w:r>
      <w:r w:rsidRPr="005526B1">
        <w:rPr>
          <w:b/>
          <w:bCs/>
        </w:rPr>
        <w:t>runs silently</w:t>
      </w:r>
      <w:r w:rsidRPr="005526B1">
        <w:t xml:space="preserve"> in the background — but it’s one of the most powerful forces shaping our carbon future.</w:t>
      </w:r>
    </w:p>
    <w:p w14:paraId="507B2E51" w14:textId="77777777" w:rsidR="005526B1" w:rsidRPr="005526B1" w:rsidRDefault="005526B1" w:rsidP="005526B1">
      <w:r w:rsidRPr="005526B1">
        <w:t xml:space="preserve">“Climate policy can struggle to pass parliaments. But bank capital rules change every few years — and they affect </w:t>
      </w:r>
      <w:r w:rsidRPr="005526B1">
        <w:rPr>
          <w:i/>
          <w:iCs/>
        </w:rPr>
        <w:t>everything</w:t>
      </w:r>
      <w:r w:rsidRPr="005526B1">
        <w:t xml:space="preserve"> from mortgages to oil exploration.”</w:t>
      </w:r>
    </w:p>
    <w:p w14:paraId="20ACA854" w14:textId="77777777" w:rsidR="005526B1" w:rsidRPr="005526B1" w:rsidRDefault="00681AF0" w:rsidP="005526B1">
      <w:r>
        <w:pict w14:anchorId="227FBEE8">
          <v:rect id="_x0000_i1028" style="width:0;height:1.5pt" o:hralign="center" o:hrstd="t" o:hr="t" fillcolor="#a0a0a0" stroked="f"/>
        </w:pict>
      </w:r>
    </w:p>
    <w:p w14:paraId="1AC25C42" w14:textId="77777777" w:rsidR="005526B1" w:rsidRPr="005526B1" w:rsidRDefault="005526B1" w:rsidP="005526B1">
      <w:pPr>
        <w:rPr>
          <w:b/>
          <w:bCs/>
        </w:rPr>
      </w:pPr>
      <w:r w:rsidRPr="005526B1">
        <w:rPr>
          <w:rFonts w:ascii="Segoe UI Emoji" w:hAnsi="Segoe UI Emoji" w:cs="Segoe UI Emoji"/>
          <w:b/>
          <w:bCs/>
        </w:rPr>
        <w:t>⚠️</w:t>
      </w:r>
      <w:r w:rsidRPr="005526B1">
        <w:rPr>
          <w:b/>
          <w:bCs/>
        </w:rPr>
        <w:t xml:space="preserve"> The problem:</w:t>
      </w:r>
    </w:p>
    <w:p w14:paraId="2D5A1D3B" w14:textId="77777777" w:rsidR="005526B1" w:rsidRPr="005526B1" w:rsidRDefault="005526B1" w:rsidP="005526B1">
      <w:r w:rsidRPr="005526B1">
        <w:t>Today, most financial models:</w:t>
      </w:r>
    </w:p>
    <w:p w14:paraId="75201E52" w14:textId="77777777" w:rsidR="005526B1" w:rsidRPr="005526B1" w:rsidRDefault="005526B1" w:rsidP="005526B1">
      <w:pPr>
        <w:numPr>
          <w:ilvl w:val="0"/>
          <w:numId w:val="15"/>
        </w:numPr>
      </w:pPr>
      <w:r w:rsidRPr="005526B1">
        <w:t>Assume the past predicts the future,</w:t>
      </w:r>
    </w:p>
    <w:p w14:paraId="6C383156" w14:textId="77777777" w:rsidR="005526B1" w:rsidRPr="005526B1" w:rsidRDefault="005526B1" w:rsidP="005526B1">
      <w:pPr>
        <w:numPr>
          <w:ilvl w:val="0"/>
          <w:numId w:val="15"/>
        </w:numPr>
      </w:pPr>
      <w:r w:rsidRPr="005526B1">
        <w:t>Treat climate risk as a footnote, and</w:t>
      </w:r>
    </w:p>
    <w:p w14:paraId="42C9B2B1" w14:textId="77777777" w:rsidR="005526B1" w:rsidRPr="005526B1" w:rsidRDefault="005526B1" w:rsidP="005526B1">
      <w:pPr>
        <w:numPr>
          <w:ilvl w:val="0"/>
          <w:numId w:val="15"/>
        </w:numPr>
      </w:pPr>
      <w:r w:rsidRPr="005526B1">
        <w:t xml:space="preserve">Give </w:t>
      </w:r>
      <w:r w:rsidRPr="005526B1">
        <w:rPr>
          <w:b/>
          <w:bCs/>
        </w:rPr>
        <w:t>cheap credit to high-emissions sectors</w:t>
      </w:r>
      <w:r w:rsidRPr="005526B1">
        <w:t>.</w:t>
      </w:r>
    </w:p>
    <w:p w14:paraId="4ED91348" w14:textId="7B68BC70" w:rsidR="005526B1" w:rsidRPr="005526B1" w:rsidRDefault="005526B1" w:rsidP="005526B1">
      <w:r w:rsidRPr="005526B1">
        <w:lastRenderedPageBreak/>
        <w:t>Not</w:t>
      </w:r>
      <w:r w:rsidR="00D04052">
        <w:t xml:space="preserve"> (necessarily)</w:t>
      </w:r>
      <w:r w:rsidRPr="005526B1">
        <w:t xml:space="preserve"> because of bad intent — but because the models don’t see the risk. And regulators haven’t told them to.</w:t>
      </w:r>
      <w:r w:rsidR="00D04052">
        <w:t xml:space="preserve"> And perhaps because </w:t>
      </w:r>
      <w:r w:rsidR="0013639E">
        <w:t>regulators have tied both their hands behind their backs.</w:t>
      </w:r>
    </w:p>
    <w:p w14:paraId="78C588F8" w14:textId="77777777" w:rsidR="005526B1" w:rsidRPr="005526B1" w:rsidRDefault="005526B1" w:rsidP="005526B1">
      <w:r w:rsidRPr="005526B1">
        <w:t>“If you’re trying to fight climate change without understanding this machinery, you’re bringing a spoon to a sword fight.”</w:t>
      </w:r>
    </w:p>
    <w:p w14:paraId="4D248DCD" w14:textId="77777777" w:rsidR="005526B1" w:rsidRPr="005526B1" w:rsidRDefault="00681AF0" w:rsidP="005526B1">
      <w:r>
        <w:pict w14:anchorId="19CB8FF8">
          <v:rect id="_x0000_i1029" style="width:0;height:1.5pt" o:hralign="center" o:hrstd="t" o:hr="t" fillcolor="#a0a0a0" stroked="f"/>
        </w:pict>
      </w:r>
    </w:p>
    <w:p w14:paraId="0E60C71E" w14:textId="77777777" w:rsidR="005526B1" w:rsidRPr="005526B1" w:rsidRDefault="005526B1" w:rsidP="005526B1">
      <w:pPr>
        <w:rPr>
          <w:b/>
          <w:bCs/>
        </w:rPr>
      </w:pPr>
      <w:r w:rsidRPr="005526B1">
        <w:rPr>
          <w:rFonts w:ascii="Segoe UI Emoji" w:hAnsi="Segoe UI Emoji" w:cs="Segoe UI Emoji"/>
          <w:b/>
          <w:bCs/>
        </w:rPr>
        <w:t>📣</w:t>
      </w:r>
      <w:r w:rsidRPr="005526B1">
        <w:rPr>
          <w:b/>
          <w:bCs/>
        </w:rPr>
        <w:t xml:space="preserve"> What this talk is about:</w:t>
      </w:r>
    </w:p>
    <w:p w14:paraId="31C394FA" w14:textId="77777777" w:rsidR="005526B1" w:rsidRPr="005526B1" w:rsidRDefault="005526B1" w:rsidP="005526B1">
      <w:r w:rsidRPr="005526B1">
        <w:t xml:space="preserve">“This talk isn’t about defending finance. It’s about understanding it — so we can </w:t>
      </w:r>
      <w:r w:rsidRPr="005526B1">
        <w:rPr>
          <w:b/>
          <w:bCs/>
        </w:rPr>
        <w:t>reshape it</w:t>
      </w:r>
      <w:r w:rsidRPr="005526B1">
        <w:t>.”</w:t>
      </w:r>
    </w:p>
    <w:p w14:paraId="373714CF" w14:textId="77777777" w:rsidR="005526B1" w:rsidRPr="005526B1" w:rsidRDefault="005526B1" w:rsidP="005526B1">
      <w:r w:rsidRPr="005526B1">
        <w:t>I’ll walk you through:</w:t>
      </w:r>
    </w:p>
    <w:p w14:paraId="572628CE" w14:textId="77777777" w:rsidR="005526B1" w:rsidRPr="005526B1" w:rsidRDefault="005526B1" w:rsidP="005526B1">
      <w:pPr>
        <w:numPr>
          <w:ilvl w:val="0"/>
          <w:numId w:val="16"/>
        </w:numPr>
      </w:pPr>
      <w:r w:rsidRPr="005526B1">
        <w:t>The credit risk models that control how banks see the world,</w:t>
      </w:r>
    </w:p>
    <w:p w14:paraId="6DF85E58" w14:textId="77777777" w:rsidR="005526B1" w:rsidRPr="005526B1" w:rsidRDefault="005526B1" w:rsidP="005526B1">
      <w:pPr>
        <w:numPr>
          <w:ilvl w:val="0"/>
          <w:numId w:val="16"/>
        </w:numPr>
      </w:pPr>
      <w:r w:rsidRPr="005526B1">
        <w:t>How they ignore climate,</w:t>
      </w:r>
    </w:p>
    <w:p w14:paraId="6C484B4E" w14:textId="77777777" w:rsidR="005526B1" w:rsidRPr="005526B1" w:rsidRDefault="005526B1" w:rsidP="005526B1">
      <w:pPr>
        <w:numPr>
          <w:ilvl w:val="0"/>
          <w:numId w:val="16"/>
        </w:numPr>
      </w:pPr>
      <w:r w:rsidRPr="005526B1">
        <w:t xml:space="preserve">And how — with a few adjustments — they could become one of the </w:t>
      </w:r>
      <w:r w:rsidRPr="005526B1">
        <w:rPr>
          <w:b/>
          <w:bCs/>
        </w:rPr>
        <w:t>most powerful levers</w:t>
      </w:r>
      <w:r w:rsidRPr="005526B1">
        <w:t xml:space="preserve"> for a just transition.</w:t>
      </w:r>
    </w:p>
    <w:p w14:paraId="49CDD126" w14:textId="0B2C9AE0" w:rsidR="005526B1" w:rsidRPr="005526B1" w:rsidRDefault="00681AF0" w:rsidP="005526B1">
      <w:r>
        <w:pict w14:anchorId="5A690D35">
          <v:rect id="_x0000_i1030" style="width:0;height:1.5pt" o:hralign="center" o:hrstd="t" o:hr="t" fillcolor="#a0a0a0" stroked="f"/>
        </w:pict>
      </w:r>
    </w:p>
    <w:p w14:paraId="7175A251" w14:textId="77777777" w:rsidR="005526B1" w:rsidRPr="005526B1" w:rsidRDefault="005526B1" w:rsidP="005526B1">
      <w:pPr>
        <w:rPr>
          <w:b/>
          <w:bCs/>
        </w:rPr>
      </w:pPr>
      <w:r w:rsidRPr="005526B1">
        <w:rPr>
          <w:rFonts w:ascii="Segoe UI Emoji" w:hAnsi="Segoe UI Emoji" w:cs="Segoe UI Emoji"/>
          <w:b/>
          <w:bCs/>
        </w:rPr>
        <w:t>🔹</w:t>
      </w:r>
      <w:r w:rsidRPr="005526B1">
        <w:rPr>
          <w:b/>
          <w:bCs/>
        </w:rPr>
        <w:t xml:space="preserve"> 1. Hook: The Formulas That Transformed Credit Risk</w:t>
      </w:r>
    </w:p>
    <w:p w14:paraId="48E0F35D" w14:textId="77777777" w:rsidR="005526B1" w:rsidRPr="005526B1" w:rsidRDefault="005526B1" w:rsidP="005526B1">
      <w:r w:rsidRPr="005526B1">
        <w:t>“In 1905, Einstein gave us E = mc². In 1997, JPMorgan gave us these.”</w:t>
      </w:r>
    </w:p>
    <w:p w14:paraId="78E50D06" w14:textId="77777777" w:rsidR="005526B1" w:rsidRPr="005526B1" w:rsidRDefault="005526B1" w:rsidP="005526B1">
      <w:pPr>
        <w:rPr>
          <w:b/>
          <w:bCs/>
        </w:rPr>
      </w:pPr>
      <w:r w:rsidRPr="005526B1">
        <w:rPr>
          <w:rFonts w:ascii="Segoe UI Emoji" w:hAnsi="Segoe UI Emoji" w:cs="Segoe UI Emoji"/>
          <w:b/>
          <w:bCs/>
        </w:rPr>
        <w:t>🧠</w:t>
      </w:r>
      <w:r w:rsidRPr="005526B1">
        <w:rPr>
          <w:b/>
          <w:bCs/>
        </w:rPr>
        <w:t xml:space="preserve"> The Three Formulas</w:t>
      </w:r>
    </w:p>
    <w:p w14:paraId="0631A202" w14:textId="77777777" w:rsidR="005526B1" w:rsidRPr="005526B1" w:rsidRDefault="005526B1" w:rsidP="005526B1">
      <w:r w:rsidRPr="005526B1">
        <w:rPr>
          <w:b/>
          <w:bCs/>
        </w:rPr>
        <w:t>1. Merton (1974)</w:t>
      </w:r>
    </w:p>
    <w:p w14:paraId="113A358C" w14:textId="77777777" w:rsidR="005526B1" w:rsidRDefault="005526B1" w:rsidP="005526B1">
      <w:pPr>
        <w:rPr>
          <w:i/>
          <w:iCs/>
        </w:rPr>
      </w:pPr>
      <w:r w:rsidRPr="005526B1">
        <w:rPr>
          <w:noProof/>
        </w:rPr>
        <w:drawing>
          <wp:inline distT="0" distB="0" distL="0" distR="0" wp14:anchorId="5588C314" wp14:editId="4E9257E6">
            <wp:extent cx="1943371" cy="419158"/>
            <wp:effectExtent l="0" t="0" r="0" b="0"/>
            <wp:docPr id="440203757" name="Picture 1" descr="formula PDi = 1 - F (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03757" name="Picture 1" descr="formula PDi = 1 - F (Zi)"/>
                    <pic:cNvPicPr/>
                  </pic:nvPicPr>
                  <pic:blipFill>
                    <a:blip r:embed="rId8"/>
                    <a:stretch>
                      <a:fillRect/>
                    </a:stretch>
                  </pic:blipFill>
                  <pic:spPr>
                    <a:xfrm>
                      <a:off x="0" y="0"/>
                      <a:ext cx="1943371" cy="419158"/>
                    </a:xfrm>
                    <a:prstGeom prst="rect">
                      <a:avLst/>
                    </a:prstGeom>
                  </pic:spPr>
                </pic:pic>
              </a:graphicData>
            </a:graphic>
          </wp:inline>
        </w:drawing>
      </w:r>
    </w:p>
    <w:p w14:paraId="3D3A44BC" w14:textId="69663633" w:rsidR="005526B1" w:rsidRPr="005526B1" w:rsidRDefault="005526B1" w:rsidP="005526B1">
      <w:r w:rsidRPr="005526B1">
        <w:rPr>
          <w:i/>
          <w:iCs/>
        </w:rPr>
        <w:t>A firm defaults when its assets fall below a threshold Z.</w:t>
      </w:r>
    </w:p>
    <w:p w14:paraId="7F6BB364" w14:textId="77777777" w:rsidR="005526B1" w:rsidRPr="005526B1" w:rsidRDefault="00681AF0" w:rsidP="005526B1">
      <w:r>
        <w:pict w14:anchorId="404534E7">
          <v:rect id="_x0000_i1031" style="width:0;height:1.5pt" o:hralign="center" o:hrstd="t" o:hr="t" fillcolor="#a0a0a0" stroked="f"/>
        </w:pict>
      </w:r>
    </w:p>
    <w:p w14:paraId="61CDEE06" w14:textId="77777777" w:rsidR="005526B1" w:rsidRPr="005526B1" w:rsidRDefault="005526B1" w:rsidP="005526B1">
      <w:r w:rsidRPr="005526B1">
        <w:rPr>
          <w:b/>
          <w:bCs/>
        </w:rPr>
        <w:t>2. Vasicek (1987)</w:t>
      </w:r>
    </w:p>
    <w:p w14:paraId="3489918C" w14:textId="77777777" w:rsidR="005526B1" w:rsidRDefault="005526B1" w:rsidP="005526B1">
      <w:pPr>
        <w:rPr>
          <w:i/>
          <w:iCs/>
        </w:rPr>
      </w:pPr>
      <w:r w:rsidRPr="005526B1">
        <w:rPr>
          <w:noProof/>
        </w:rPr>
        <w:drawing>
          <wp:inline distT="0" distB="0" distL="0" distR="0" wp14:anchorId="22E09DFB" wp14:editId="6DBFE945">
            <wp:extent cx="2638793" cy="495369"/>
            <wp:effectExtent l="0" t="0" r="9525" b="0"/>
            <wp:docPr id="603994699" name="Picture 1" descr="formu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994699" name="Picture 1" descr="formula "/>
                    <pic:cNvPicPr/>
                  </pic:nvPicPr>
                  <pic:blipFill>
                    <a:blip r:embed="rId9"/>
                    <a:stretch>
                      <a:fillRect/>
                    </a:stretch>
                  </pic:blipFill>
                  <pic:spPr>
                    <a:xfrm>
                      <a:off x="0" y="0"/>
                      <a:ext cx="2638793" cy="495369"/>
                    </a:xfrm>
                    <a:prstGeom prst="rect">
                      <a:avLst/>
                    </a:prstGeom>
                  </pic:spPr>
                </pic:pic>
              </a:graphicData>
            </a:graphic>
          </wp:inline>
        </w:drawing>
      </w:r>
    </w:p>
    <w:p w14:paraId="62B80408" w14:textId="79DFCE5F" w:rsidR="005526B1" w:rsidRPr="005526B1" w:rsidRDefault="005526B1" w:rsidP="005526B1">
      <w:r w:rsidRPr="005526B1">
        <w:rPr>
          <w:i/>
          <w:iCs/>
        </w:rPr>
        <w:t>Z is driven by a systematic factor XXX and an idiosyncratic factor ϵ</w:t>
      </w:r>
      <w:proofErr w:type="spellStart"/>
      <w:r w:rsidRPr="005526B1">
        <w:rPr>
          <w:i/>
          <w:iCs/>
        </w:rPr>
        <w:t>i</w:t>
      </w:r>
      <w:proofErr w:type="spellEnd"/>
    </w:p>
    <w:p w14:paraId="487FA310" w14:textId="77777777" w:rsidR="005526B1" w:rsidRPr="005526B1" w:rsidRDefault="00681AF0" w:rsidP="005526B1">
      <w:r>
        <w:pict w14:anchorId="3A0B4C8C">
          <v:rect id="_x0000_i1032" style="width:0;height:1.5pt" o:hralign="center" o:hrstd="t" o:hr="t" fillcolor="#a0a0a0" stroked="f"/>
        </w:pict>
      </w:r>
    </w:p>
    <w:p w14:paraId="639F75D3" w14:textId="77777777" w:rsidR="005526B1" w:rsidRPr="005526B1" w:rsidRDefault="005526B1" w:rsidP="005526B1">
      <w:r w:rsidRPr="005526B1">
        <w:rPr>
          <w:b/>
          <w:bCs/>
        </w:rPr>
        <w:t xml:space="preserve">3. </w:t>
      </w:r>
      <w:proofErr w:type="spellStart"/>
      <w:r w:rsidRPr="005526B1">
        <w:rPr>
          <w:b/>
          <w:bCs/>
        </w:rPr>
        <w:t>CreditMetrics</w:t>
      </w:r>
      <w:proofErr w:type="spellEnd"/>
      <w:r w:rsidRPr="005526B1">
        <w:rPr>
          <w:b/>
          <w:bCs/>
        </w:rPr>
        <w:t>™ (1997)</w:t>
      </w:r>
    </w:p>
    <w:p w14:paraId="19FAE84D" w14:textId="135BCFCE" w:rsidR="005526B1" w:rsidRDefault="005526B1" w:rsidP="005526B1">
      <w:commentRangeStart w:id="0"/>
      <w:commentRangeStart w:id="1"/>
      <w:commentRangeStart w:id="2"/>
      <w:commentRangeStart w:id="3"/>
      <w:r w:rsidRPr="005526B1">
        <w:rPr>
          <w:noProof/>
        </w:rPr>
        <w:drawing>
          <wp:inline distT="0" distB="0" distL="0" distR="0" wp14:anchorId="443FC0BE" wp14:editId="0E0D2AE9">
            <wp:extent cx="3591426" cy="733527"/>
            <wp:effectExtent l="0" t="0" r="9525" b="9525"/>
            <wp:docPr id="712373396" name="Picture 1" descr="formu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73396" name="Picture 1" descr="formula "/>
                    <pic:cNvPicPr/>
                  </pic:nvPicPr>
                  <pic:blipFill>
                    <a:blip r:embed="rId10"/>
                    <a:stretch>
                      <a:fillRect/>
                    </a:stretch>
                  </pic:blipFill>
                  <pic:spPr>
                    <a:xfrm>
                      <a:off x="0" y="0"/>
                      <a:ext cx="3591426" cy="733527"/>
                    </a:xfrm>
                    <a:prstGeom prst="rect">
                      <a:avLst/>
                    </a:prstGeom>
                  </pic:spPr>
                </pic:pic>
              </a:graphicData>
            </a:graphic>
          </wp:inline>
        </w:drawing>
      </w:r>
      <w:commentRangeEnd w:id="0"/>
      <w:r w:rsidR="003222A0">
        <w:rPr>
          <w:rStyle w:val="CommentReference"/>
        </w:rPr>
        <w:commentReference w:id="0"/>
      </w:r>
      <w:commentRangeEnd w:id="1"/>
      <w:r w:rsidR="005978E2">
        <w:rPr>
          <w:rStyle w:val="CommentReference"/>
        </w:rPr>
        <w:commentReference w:id="1"/>
      </w:r>
      <w:commentRangeEnd w:id="2"/>
      <w:r w:rsidR="007B1E7A">
        <w:rPr>
          <w:rStyle w:val="CommentReference"/>
        </w:rPr>
        <w:commentReference w:id="2"/>
      </w:r>
      <w:commentRangeEnd w:id="3"/>
      <w:r w:rsidR="00F31D76">
        <w:rPr>
          <w:rStyle w:val="CommentReference"/>
        </w:rPr>
        <w:commentReference w:id="3"/>
      </w:r>
    </w:p>
    <w:p w14:paraId="55347432" w14:textId="19FD0022" w:rsidR="005526B1" w:rsidRPr="005526B1" w:rsidRDefault="005526B1" w:rsidP="005526B1">
      <w:r w:rsidRPr="005526B1">
        <w:rPr>
          <w:i/>
          <w:iCs/>
        </w:rPr>
        <w:t>This expresses how a firm’s PD changes under systemic stress conditions.</w:t>
      </w:r>
    </w:p>
    <w:p w14:paraId="585A92C8" w14:textId="77777777" w:rsidR="005526B1" w:rsidRPr="005526B1" w:rsidRDefault="00681AF0" w:rsidP="005526B1">
      <w:r>
        <w:pict w14:anchorId="5E846D66">
          <v:rect id="_x0000_i1033" style="width:0;height:1.5pt" o:hralign="center" o:hrstd="t" o:hr="t" fillcolor="#a0a0a0" stroked="f"/>
        </w:pict>
      </w:r>
    </w:p>
    <w:p w14:paraId="25BDDCB9" w14:textId="77777777" w:rsidR="005526B1" w:rsidRPr="00FF01A7" w:rsidRDefault="005526B1" w:rsidP="005526B1">
      <w:pPr>
        <w:rPr>
          <w:b/>
          <w:bCs/>
          <w:lang w:val="it-IT"/>
        </w:rPr>
      </w:pPr>
      <w:r w:rsidRPr="005526B1">
        <w:rPr>
          <w:rFonts w:ascii="Segoe UI Emoji" w:hAnsi="Segoe UI Emoji" w:cs="Segoe UI Emoji"/>
          <w:b/>
          <w:bCs/>
        </w:rPr>
        <w:lastRenderedPageBreak/>
        <w:t>📊</w:t>
      </w:r>
      <w:r w:rsidRPr="00FF01A7">
        <w:rPr>
          <w:b/>
          <w:bCs/>
          <w:lang w:val="it-IT"/>
        </w:rPr>
        <w:t xml:space="preserve"> Basel Capital Formula (Portfolio Level)</w:t>
      </w:r>
    </w:p>
    <w:p w14:paraId="3E744381" w14:textId="3701AD12" w:rsidR="005526B1" w:rsidRDefault="005526B1" w:rsidP="005526B1">
      <w:commentRangeStart w:id="4"/>
      <w:commentRangeStart w:id="5"/>
      <w:commentRangeStart w:id="6"/>
      <w:commentRangeStart w:id="7"/>
      <w:r w:rsidRPr="005526B1">
        <w:rPr>
          <w:noProof/>
        </w:rPr>
        <w:drawing>
          <wp:inline distT="0" distB="0" distL="0" distR="0" wp14:anchorId="565961B5" wp14:editId="48C816FF">
            <wp:extent cx="5731510" cy="688975"/>
            <wp:effectExtent l="0" t="0" r="2540" b="0"/>
            <wp:docPr id="33835991" name="Picture 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5991" name="Picture 1" descr="formula"/>
                    <pic:cNvPicPr/>
                  </pic:nvPicPr>
                  <pic:blipFill>
                    <a:blip r:embed="rId15"/>
                    <a:stretch>
                      <a:fillRect/>
                    </a:stretch>
                  </pic:blipFill>
                  <pic:spPr>
                    <a:xfrm>
                      <a:off x="0" y="0"/>
                      <a:ext cx="5731510" cy="688975"/>
                    </a:xfrm>
                    <a:prstGeom prst="rect">
                      <a:avLst/>
                    </a:prstGeom>
                  </pic:spPr>
                </pic:pic>
              </a:graphicData>
            </a:graphic>
          </wp:inline>
        </w:drawing>
      </w:r>
      <w:commentRangeEnd w:id="4"/>
      <w:r w:rsidR="00B71756">
        <w:rPr>
          <w:rStyle w:val="CommentReference"/>
        </w:rPr>
        <w:commentReference w:id="4"/>
      </w:r>
      <w:commentRangeEnd w:id="5"/>
      <w:r w:rsidR="00894DC9">
        <w:rPr>
          <w:rStyle w:val="CommentReference"/>
        </w:rPr>
        <w:commentReference w:id="5"/>
      </w:r>
      <w:commentRangeEnd w:id="6"/>
      <w:r w:rsidR="00A70AD2">
        <w:rPr>
          <w:rStyle w:val="CommentReference"/>
        </w:rPr>
        <w:commentReference w:id="6"/>
      </w:r>
      <w:commentRangeEnd w:id="7"/>
      <w:r w:rsidR="00704D8E">
        <w:rPr>
          <w:rStyle w:val="CommentReference"/>
        </w:rPr>
        <w:commentReference w:id="7"/>
      </w:r>
    </w:p>
    <w:p w14:paraId="6C44AD42" w14:textId="155379CC" w:rsidR="005526B1" w:rsidRPr="005526B1" w:rsidRDefault="005526B1" w:rsidP="005526B1">
      <w:r w:rsidRPr="005526B1">
        <w:t>“This is the formula that still defines how much capital banks must hold—and thus, how much they can lend.”</w:t>
      </w:r>
    </w:p>
    <w:p w14:paraId="21B7B2B1" w14:textId="77777777" w:rsidR="005526B1" w:rsidRPr="005526B1" w:rsidRDefault="00681AF0" w:rsidP="005526B1">
      <w:r>
        <w:pict w14:anchorId="1965DA64">
          <v:rect id="_x0000_i1034" style="width:0;height:1.5pt" o:hralign="center" o:hrstd="t" o:hr="t" fillcolor="#a0a0a0" stroked="f"/>
        </w:pict>
      </w:r>
    </w:p>
    <w:p w14:paraId="1F4EF191" w14:textId="77777777" w:rsidR="005526B1" w:rsidRPr="005526B1" w:rsidRDefault="005526B1" w:rsidP="005526B1">
      <w:pPr>
        <w:rPr>
          <w:b/>
          <w:bCs/>
        </w:rPr>
      </w:pPr>
      <w:r w:rsidRPr="005526B1">
        <w:rPr>
          <w:rFonts w:ascii="Segoe UI Emoji" w:hAnsi="Segoe UI Emoji" w:cs="Segoe UI Emoji"/>
          <w:b/>
          <w:bCs/>
        </w:rPr>
        <w:t>🔹</w:t>
      </w:r>
      <w:r w:rsidRPr="005526B1">
        <w:rPr>
          <w:b/>
          <w:bCs/>
        </w:rPr>
        <w:t xml:space="preserve"> 2. </w:t>
      </w:r>
      <w:proofErr w:type="spellStart"/>
      <w:r w:rsidRPr="005526B1">
        <w:rPr>
          <w:b/>
          <w:bCs/>
        </w:rPr>
        <w:t>CreditMetrics</w:t>
      </w:r>
      <w:proofErr w:type="spellEnd"/>
      <w:r w:rsidRPr="005526B1">
        <w:rPr>
          <w:b/>
          <w:bCs/>
        </w:rPr>
        <w:t>™: An Unlikely Gift to the World</w:t>
      </w:r>
    </w:p>
    <w:p w14:paraId="3296032C" w14:textId="77777777" w:rsidR="005526B1" w:rsidRPr="005526B1" w:rsidRDefault="005526B1" w:rsidP="005526B1">
      <w:r w:rsidRPr="005526B1">
        <w:t xml:space="preserve">In 1997, JPMorgan and partners released </w:t>
      </w:r>
      <w:proofErr w:type="spellStart"/>
      <w:r w:rsidRPr="005526B1">
        <w:rPr>
          <w:b/>
          <w:bCs/>
        </w:rPr>
        <w:t>CreditMetrics</w:t>
      </w:r>
      <w:proofErr w:type="spellEnd"/>
      <w:r w:rsidRPr="005526B1">
        <w:rPr>
          <w:b/>
          <w:bCs/>
        </w:rPr>
        <w:t>™</w:t>
      </w:r>
      <w:r w:rsidRPr="005526B1">
        <w:t xml:space="preserve"> as a freely available technical document. It wasn’t a sales brochure; it was a blueprint for a </w:t>
      </w:r>
      <w:r w:rsidRPr="005526B1">
        <w:rPr>
          <w:b/>
          <w:bCs/>
        </w:rPr>
        <w:t>new global standard in credit risk</w:t>
      </w:r>
      <w:r w:rsidRPr="005526B1">
        <w:t>.</w:t>
      </w:r>
    </w:p>
    <w:p w14:paraId="40046B01" w14:textId="77777777" w:rsidR="005526B1" w:rsidRPr="005526B1" w:rsidRDefault="005526B1" w:rsidP="005526B1">
      <w:pPr>
        <w:rPr>
          <w:b/>
          <w:bCs/>
        </w:rPr>
      </w:pPr>
      <w:r w:rsidRPr="005526B1">
        <w:rPr>
          <w:rFonts w:ascii="Segoe UI Emoji" w:hAnsi="Segoe UI Emoji" w:cs="Segoe UI Emoji"/>
          <w:b/>
          <w:bCs/>
        </w:rPr>
        <w:t>💡</w:t>
      </w:r>
      <w:r w:rsidRPr="005526B1">
        <w:rPr>
          <w:b/>
          <w:bCs/>
        </w:rPr>
        <w:t xml:space="preserve"> Why give it away?</w:t>
      </w:r>
    </w:p>
    <w:p w14:paraId="0489CBCD" w14:textId="77777777" w:rsidR="005526B1" w:rsidRPr="005526B1" w:rsidRDefault="005526B1" w:rsidP="005526B1">
      <w:pPr>
        <w:numPr>
          <w:ilvl w:val="0"/>
          <w:numId w:val="1"/>
        </w:numPr>
      </w:pPr>
      <w:r w:rsidRPr="005526B1">
        <w:rPr>
          <w:b/>
          <w:bCs/>
        </w:rPr>
        <w:t>Thought leadership</w:t>
      </w:r>
      <w:r w:rsidRPr="005526B1">
        <w:t>:</w:t>
      </w:r>
      <w:r w:rsidRPr="005526B1">
        <w:br/>
        <w:t>JPMorgan solidified its position as the market’s most sophisticated risk modeler.</w:t>
      </w:r>
    </w:p>
    <w:p w14:paraId="355C210F" w14:textId="77777777" w:rsidR="005526B1" w:rsidRPr="005526B1" w:rsidRDefault="005526B1" w:rsidP="005526B1">
      <w:pPr>
        <w:numPr>
          <w:ilvl w:val="0"/>
          <w:numId w:val="1"/>
        </w:numPr>
      </w:pPr>
      <w:r w:rsidRPr="005526B1">
        <w:rPr>
          <w:b/>
          <w:bCs/>
        </w:rPr>
        <w:t>Influence over regulators</w:t>
      </w:r>
      <w:r w:rsidRPr="005526B1">
        <w:t>:</w:t>
      </w:r>
      <w:r w:rsidRPr="005526B1">
        <w:br/>
      </w:r>
      <w:proofErr w:type="spellStart"/>
      <w:r w:rsidRPr="005526B1">
        <w:t>CreditMetrics</w:t>
      </w:r>
      <w:proofErr w:type="spellEnd"/>
      <w:r w:rsidRPr="005526B1">
        <w:t>™ was widely adopted and helped shape Basel II’s Internal Ratings-Based (IRB) approach.</w:t>
      </w:r>
    </w:p>
    <w:p w14:paraId="2A6D0F06" w14:textId="77777777" w:rsidR="005526B1" w:rsidRPr="005526B1" w:rsidRDefault="005526B1" w:rsidP="005526B1">
      <w:pPr>
        <w:numPr>
          <w:ilvl w:val="0"/>
          <w:numId w:val="1"/>
        </w:numPr>
      </w:pPr>
      <w:r w:rsidRPr="005526B1">
        <w:rPr>
          <w:b/>
          <w:bCs/>
        </w:rPr>
        <w:t>Interoperability</w:t>
      </w:r>
      <w:r w:rsidRPr="005526B1">
        <w:t>:</w:t>
      </w:r>
      <w:r w:rsidRPr="005526B1">
        <w:br/>
        <w:t>Banks needed standardization to grow credit derivatives markets—shared models reduced valuation disputes.</w:t>
      </w:r>
    </w:p>
    <w:p w14:paraId="34E6131A" w14:textId="77777777" w:rsidR="005526B1" w:rsidRPr="005526B1" w:rsidRDefault="005526B1" w:rsidP="005526B1">
      <w:pPr>
        <w:numPr>
          <w:ilvl w:val="0"/>
          <w:numId w:val="1"/>
        </w:numPr>
      </w:pPr>
      <w:r w:rsidRPr="005526B1">
        <w:rPr>
          <w:b/>
          <w:bCs/>
        </w:rPr>
        <w:t>Network effects</w:t>
      </w:r>
      <w:r w:rsidRPr="005526B1">
        <w:t>:</w:t>
      </w:r>
      <w:r w:rsidRPr="005526B1">
        <w:br/>
        <w:t>Like any standard (think TCP/IP or Unicode), the value increased as adoption spread.</w:t>
      </w:r>
    </w:p>
    <w:p w14:paraId="79778F94" w14:textId="77777777" w:rsidR="005526B1" w:rsidRPr="005526B1" w:rsidRDefault="005526B1" w:rsidP="005526B1">
      <w:r w:rsidRPr="005526B1">
        <w:rPr>
          <w:i/>
          <w:iCs/>
        </w:rPr>
        <w:t>“It wasn’t altruism—it was strategic openness. The result, however, was a public good.”</w:t>
      </w:r>
    </w:p>
    <w:p w14:paraId="7ACC1760" w14:textId="77777777" w:rsidR="005526B1" w:rsidRPr="005526B1" w:rsidRDefault="00681AF0" w:rsidP="005526B1">
      <w:r>
        <w:pict w14:anchorId="7377FD3A">
          <v:rect id="_x0000_i1035" style="width:0;height:1.5pt" o:hralign="center" o:hrstd="t" o:hr="t" fillcolor="#a0a0a0" stroked="f"/>
        </w:pict>
      </w:r>
    </w:p>
    <w:p w14:paraId="02A9AC66" w14:textId="77777777" w:rsidR="005526B1" w:rsidRPr="005526B1" w:rsidRDefault="005526B1" w:rsidP="005526B1">
      <w:pPr>
        <w:rPr>
          <w:b/>
          <w:bCs/>
        </w:rPr>
      </w:pPr>
      <w:r w:rsidRPr="005526B1">
        <w:rPr>
          <w:rFonts w:ascii="Segoe UI Emoji" w:hAnsi="Segoe UI Emoji" w:cs="Segoe UI Emoji"/>
          <w:b/>
          <w:bCs/>
        </w:rPr>
        <w:t>❓</w:t>
      </w:r>
      <w:r w:rsidRPr="005526B1">
        <w:rPr>
          <w:b/>
          <w:bCs/>
        </w:rPr>
        <w:t>Why Can’t We Do This Now?</w:t>
      </w:r>
    </w:p>
    <w:p w14:paraId="42477589" w14:textId="77777777" w:rsidR="005526B1" w:rsidRPr="005526B1" w:rsidRDefault="005526B1" w:rsidP="005526B1">
      <w:r w:rsidRPr="005526B1">
        <w:t>“Paradoxically, a more regulated world has made open collaboration less likely.”</w:t>
      </w:r>
    </w:p>
    <w:p w14:paraId="4A74D041" w14:textId="77777777" w:rsidR="005526B1" w:rsidRPr="005526B1" w:rsidRDefault="005526B1" w:rsidP="005526B1">
      <w:pPr>
        <w:rPr>
          <w:b/>
          <w:bCs/>
        </w:rPr>
      </w:pPr>
      <w:r w:rsidRPr="005526B1">
        <w:rPr>
          <w:rFonts w:ascii="Segoe UI Emoji" w:hAnsi="Segoe UI Emoji" w:cs="Segoe UI Emoji"/>
          <w:b/>
          <w:bCs/>
        </w:rPr>
        <w:t>🔒</w:t>
      </w:r>
      <w:r w:rsidRPr="005526B1">
        <w:rPr>
          <w:b/>
          <w:bCs/>
        </w:rPr>
        <w:t xml:space="preserve"> 1. Regulatory Liability</w:t>
      </w:r>
    </w:p>
    <w:p w14:paraId="7E662307" w14:textId="77777777" w:rsidR="005526B1" w:rsidRPr="005526B1" w:rsidRDefault="005526B1" w:rsidP="005526B1">
      <w:pPr>
        <w:numPr>
          <w:ilvl w:val="0"/>
          <w:numId w:val="2"/>
        </w:numPr>
      </w:pPr>
      <w:r w:rsidRPr="005526B1">
        <w:t>Modern capital models must be:</w:t>
      </w:r>
    </w:p>
    <w:p w14:paraId="2F5AC672" w14:textId="77777777" w:rsidR="005526B1" w:rsidRPr="005526B1" w:rsidRDefault="005526B1" w:rsidP="005526B1">
      <w:pPr>
        <w:numPr>
          <w:ilvl w:val="1"/>
          <w:numId w:val="2"/>
        </w:numPr>
      </w:pPr>
      <w:r w:rsidRPr="005526B1">
        <w:t>Validated</w:t>
      </w:r>
    </w:p>
    <w:p w14:paraId="487BC37A" w14:textId="77777777" w:rsidR="005526B1" w:rsidRPr="005526B1" w:rsidRDefault="005526B1" w:rsidP="005526B1">
      <w:pPr>
        <w:numPr>
          <w:ilvl w:val="1"/>
          <w:numId w:val="2"/>
        </w:numPr>
      </w:pPr>
      <w:r w:rsidRPr="005526B1">
        <w:t>Supervisory-approved</w:t>
      </w:r>
    </w:p>
    <w:p w14:paraId="4F0704C6" w14:textId="77777777" w:rsidR="005526B1" w:rsidRPr="005526B1" w:rsidRDefault="005526B1" w:rsidP="005526B1">
      <w:pPr>
        <w:numPr>
          <w:ilvl w:val="1"/>
          <w:numId w:val="2"/>
        </w:numPr>
      </w:pPr>
      <w:r w:rsidRPr="005526B1">
        <w:t>Legally defensible</w:t>
      </w:r>
      <w:r w:rsidRPr="005526B1">
        <w:br/>
        <w:t>→ Banks won’t adopt IP they don’t fully control.</w:t>
      </w:r>
    </w:p>
    <w:p w14:paraId="5B4EF785" w14:textId="77777777" w:rsidR="005526B1" w:rsidRPr="005526B1" w:rsidRDefault="005526B1" w:rsidP="005526B1">
      <w:pPr>
        <w:rPr>
          <w:b/>
          <w:bCs/>
        </w:rPr>
      </w:pPr>
      <w:r w:rsidRPr="005526B1">
        <w:rPr>
          <w:rFonts w:ascii="Segoe UI Emoji" w:hAnsi="Segoe UI Emoji" w:cs="Segoe UI Emoji"/>
          <w:b/>
          <w:bCs/>
        </w:rPr>
        <w:t>💼</w:t>
      </w:r>
      <w:r w:rsidRPr="005526B1">
        <w:rPr>
          <w:b/>
          <w:bCs/>
        </w:rPr>
        <w:t xml:space="preserve"> 2. ESG as IP</w:t>
      </w:r>
    </w:p>
    <w:p w14:paraId="7F7A901D" w14:textId="77777777" w:rsidR="005526B1" w:rsidRPr="005526B1" w:rsidRDefault="005526B1" w:rsidP="005526B1">
      <w:pPr>
        <w:numPr>
          <w:ilvl w:val="0"/>
          <w:numId w:val="3"/>
        </w:numPr>
      </w:pPr>
      <w:r w:rsidRPr="005526B1">
        <w:t>ESG/climate risk models are now monetized by vendors (MSCI, Moody’s, BlackRock).</w:t>
      </w:r>
    </w:p>
    <w:p w14:paraId="1BF7B0D5" w14:textId="77777777" w:rsidR="005526B1" w:rsidRPr="005526B1" w:rsidRDefault="005526B1" w:rsidP="005526B1">
      <w:pPr>
        <w:numPr>
          <w:ilvl w:val="0"/>
          <w:numId w:val="3"/>
        </w:numPr>
      </w:pPr>
      <w:r w:rsidRPr="005526B1">
        <w:t xml:space="preserve">Firms prefer </w:t>
      </w:r>
      <w:r w:rsidRPr="005526B1">
        <w:rPr>
          <w:b/>
          <w:bCs/>
        </w:rPr>
        <w:t>commercial secrecy</w:t>
      </w:r>
      <w:r w:rsidRPr="005526B1">
        <w:t xml:space="preserve"> to standardization.</w:t>
      </w:r>
    </w:p>
    <w:p w14:paraId="08479E72" w14:textId="77777777" w:rsidR="005526B1" w:rsidRPr="005526B1" w:rsidRDefault="005526B1" w:rsidP="005526B1">
      <w:pPr>
        <w:rPr>
          <w:b/>
          <w:bCs/>
        </w:rPr>
      </w:pPr>
      <w:r w:rsidRPr="005526B1">
        <w:rPr>
          <w:rFonts w:ascii="Segoe UI Emoji" w:hAnsi="Segoe UI Emoji" w:cs="Segoe UI Emoji"/>
          <w:b/>
          <w:bCs/>
        </w:rPr>
        <w:lastRenderedPageBreak/>
        <w:t>⚖️</w:t>
      </w:r>
      <w:r w:rsidRPr="005526B1">
        <w:rPr>
          <w:b/>
          <w:bCs/>
        </w:rPr>
        <w:t xml:space="preserve"> 3. Arms-Length Supervision</w:t>
      </w:r>
    </w:p>
    <w:p w14:paraId="3E961E55" w14:textId="77777777" w:rsidR="005526B1" w:rsidRPr="005526B1" w:rsidRDefault="005526B1" w:rsidP="005526B1">
      <w:pPr>
        <w:numPr>
          <w:ilvl w:val="0"/>
          <w:numId w:val="4"/>
        </w:numPr>
      </w:pPr>
      <w:r w:rsidRPr="005526B1">
        <w:t>Post-2008, regulation became adversarial, not collaborative.</w:t>
      </w:r>
    </w:p>
    <w:p w14:paraId="20166F15" w14:textId="77777777" w:rsidR="005526B1" w:rsidRPr="005526B1" w:rsidRDefault="005526B1" w:rsidP="005526B1">
      <w:pPr>
        <w:numPr>
          <w:ilvl w:val="0"/>
          <w:numId w:val="4"/>
        </w:numPr>
      </w:pPr>
      <w:r w:rsidRPr="005526B1">
        <w:t>Publishing assumptions = potential future liability.</w:t>
      </w:r>
    </w:p>
    <w:p w14:paraId="17B0480E" w14:textId="77777777" w:rsidR="005526B1" w:rsidRPr="005526B1" w:rsidRDefault="005526B1" w:rsidP="005526B1">
      <w:r w:rsidRPr="005526B1">
        <w:t xml:space="preserve">“We’ve moved from ‘publish and shape the future’ to ‘comply and protect the IP.’ That’s why </w:t>
      </w:r>
      <w:proofErr w:type="spellStart"/>
      <w:r w:rsidRPr="005526B1">
        <w:t>CreditMetrics</w:t>
      </w:r>
      <w:proofErr w:type="spellEnd"/>
      <w:r w:rsidRPr="005526B1">
        <w:t>™ was a one-off.”</w:t>
      </w:r>
    </w:p>
    <w:p w14:paraId="60C9093D" w14:textId="77777777" w:rsidR="005526B1" w:rsidRPr="005526B1" w:rsidRDefault="00681AF0" w:rsidP="005526B1">
      <w:r>
        <w:pict w14:anchorId="5D3A7E2C">
          <v:rect id="_x0000_i1036" style="width:0;height:1.5pt" o:hralign="center" o:hrstd="t" o:hr="t" fillcolor="#a0a0a0" stroked="f"/>
        </w:pict>
      </w:r>
    </w:p>
    <w:p w14:paraId="1B74664B" w14:textId="77777777" w:rsidR="005526B1" w:rsidRPr="005526B1" w:rsidRDefault="005526B1" w:rsidP="005526B1">
      <w:pPr>
        <w:rPr>
          <w:b/>
          <w:bCs/>
        </w:rPr>
      </w:pPr>
      <w:r w:rsidRPr="005526B1">
        <w:rPr>
          <w:rFonts w:ascii="Segoe UI Emoji" w:hAnsi="Segoe UI Emoji" w:cs="Segoe UI Emoji"/>
          <w:b/>
          <w:bCs/>
        </w:rPr>
        <w:t>🔹</w:t>
      </w:r>
      <w:r w:rsidRPr="005526B1">
        <w:rPr>
          <w:b/>
          <w:bCs/>
        </w:rPr>
        <w:t xml:space="preserve"> 3. Why Climate Belongs in the Credit Risk Model</w:t>
      </w:r>
    </w:p>
    <w:p w14:paraId="5B850BC2" w14:textId="77777777" w:rsidR="005526B1" w:rsidRPr="005526B1" w:rsidRDefault="005526B1" w:rsidP="005526B1">
      <w:r w:rsidRPr="005526B1">
        <w:t>“Climate change is a systemic risk. Our credit risk formulas were designed to model systemic risk. So why hasn’t climate entered the equation?”</w:t>
      </w:r>
    </w:p>
    <w:p w14:paraId="1A20FA61" w14:textId="77777777" w:rsidR="005526B1" w:rsidRPr="005526B1" w:rsidRDefault="005526B1" w:rsidP="005526B1">
      <w:pPr>
        <w:rPr>
          <w:b/>
          <w:bCs/>
        </w:rPr>
      </w:pPr>
      <w:commentRangeStart w:id="8"/>
      <w:r w:rsidRPr="005526B1">
        <w:rPr>
          <w:rFonts w:ascii="Segoe UI Emoji" w:hAnsi="Segoe UI Emoji" w:cs="Segoe UI Emoji"/>
          <w:b/>
          <w:bCs/>
        </w:rPr>
        <w:t>🔧</w:t>
      </w:r>
      <w:r w:rsidRPr="005526B1">
        <w:rPr>
          <w:b/>
          <w:bCs/>
        </w:rPr>
        <w:t xml:space="preserve"> How Climate Affects PD and ρ:</w:t>
      </w:r>
    </w:p>
    <w:p w14:paraId="7E321A1A" w14:textId="77777777" w:rsidR="005526B1" w:rsidRPr="005526B1" w:rsidRDefault="005526B1" w:rsidP="005526B1">
      <w:pPr>
        <w:numPr>
          <w:ilvl w:val="0"/>
          <w:numId w:val="5"/>
        </w:numPr>
      </w:pPr>
      <w:r w:rsidRPr="005526B1">
        <w:rPr>
          <w:b/>
          <w:bCs/>
        </w:rPr>
        <w:t>PD ↑</w:t>
      </w:r>
      <w:r w:rsidRPr="005526B1">
        <w:t>:</w:t>
      </w:r>
    </w:p>
    <w:p w14:paraId="6320407E" w14:textId="77777777" w:rsidR="005526B1" w:rsidRPr="005526B1" w:rsidRDefault="005526B1" w:rsidP="005526B1">
      <w:pPr>
        <w:numPr>
          <w:ilvl w:val="1"/>
          <w:numId w:val="5"/>
        </w:numPr>
      </w:pPr>
      <w:r w:rsidRPr="005526B1">
        <w:t>Transition risk: policy shifts, stranded assets</w:t>
      </w:r>
    </w:p>
    <w:p w14:paraId="67571516" w14:textId="77777777" w:rsidR="005526B1" w:rsidRPr="005526B1" w:rsidRDefault="005526B1" w:rsidP="005526B1">
      <w:pPr>
        <w:numPr>
          <w:ilvl w:val="1"/>
          <w:numId w:val="5"/>
        </w:numPr>
      </w:pPr>
      <w:r w:rsidRPr="005526B1">
        <w:t>Physical risk: floods, drought, heat, disease</w:t>
      </w:r>
    </w:p>
    <w:p w14:paraId="12D0DBBD" w14:textId="77777777" w:rsidR="005526B1" w:rsidRPr="005526B1" w:rsidRDefault="005526B1" w:rsidP="005526B1">
      <w:pPr>
        <w:numPr>
          <w:ilvl w:val="0"/>
          <w:numId w:val="5"/>
        </w:numPr>
      </w:pPr>
      <w:r w:rsidRPr="005526B1">
        <w:rPr>
          <w:b/>
          <w:bCs/>
        </w:rPr>
        <w:t>ρ ↑</w:t>
      </w:r>
      <w:r w:rsidRPr="005526B1">
        <w:t>:</w:t>
      </w:r>
    </w:p>
    <w:p w14:paraId="718AA6F7" w14:textId="77777777" w:rsidR="005526B1" w:rsidRPr="005526B1" w:rsidRDefault="005526B1" w:rsidP="005526B1">
      <w:pPr>
        <w:numPr>
          <w:ilvl w:val="1"/>
          <w:numId w:val="5"/>
        </w:numPr>
      </w:pPr>
      <w:r w:rsidRPr="005526B1">
        <w:t>Climate shocks affect entire regions/sectors → higher correlation across firms</w:t>
      </w:r>
      <w:commentRangeEnd w:id="8"/>
      <w:r w:rsidR="000E540F">
        <w:rPr>
          <w:rStyle w:val="CommentReference"/>
        </w:rPr>
        <w:commentReference w:id="8"/>
      </w:r>
    </w:p>
    <w:p w14:paraId="6F34529B" w14:textId="77777777" w:rsidR="005526B1" w:rsidRPr="005526B1" w:rsidRDefault="005526B1" w:rsidP="005526B1">
      <w:r w:rsidRPr="005526B1">
        <w:t>“Higher PD and ρ = higher capital = less lending to high-risk sectors. The regulatory mechanism is already in place—we just haven’t turned it on for climate.”</w:t>
      </w:r>
    </w:p>
    <w:p w14:paraId="4551EE55" w14:textId="77777777" w:rsidR="005526B1" w:rsidRPr="005526B1" w:rsidRDefault="00681AF0" w:rsidP="005526B1">
      <w:r>
        <w:pict w14:anchorId="2807519A">
          <v:rect id="_x0000_i1037" style="width:0;height:1.5pt" o:hralign="center" o:hrstd="t" o:hr="t" fillcolor="#a0a0a0" stroked="f"/>
        </w:pict>
      </w:r>
    </w:p>
    <w:p w14:paraId="73310D9D" w14:textId="77777777" w:rsidR="005526B1" w:rsidRPr="005526B1" w:rsidRDefault="005526B1" w:rsidP="005526B1">
      <w:pPr>
        <w:rPr>
          <w:b/>
          <w:bCs/>
        </w:rPr>
      </w:pPr>
      <w:r w:rsidRPr="005526B1">
        <w:rPr>
          <w:rFonts w:ascii="Segoe UI Emoji" w:hAnsi="Segoe UI Emoji" w:cs="Segoe UI Emoji"/>
          <w:b/>
          <w:bCs/>
        </w:rPr>
        <w:t>🔹</w:t>
      </w:r>
      <w:r w:rsidRPr="005526B1">
        <w:rPr>
          <w:b/>
          <w:bCs/>
        </w:rPr>
        <w:t xml:space="preserve"> 3A. Climate Stress Testing: What It Tells Us, and What It Doesn’t</w:t>
      </w:r>
    </w:p>
    <w:p w14:paraId="3BE43EF7" w14:textId="77777777" w:rsidR="005526B1" w:rsidRPr="005526B1" w:rsidRDefault="005526B1" w:rsidP="005526B1">
      <w:commentRangeStart w:id="9"/>
      <w:r w:rsidRPr="005526B1">
        <w:rPr>
          <w:b/>
          <w:bCs/>
        </w:rPr>
        <w:t>Stress testing</w:t>
      </w:r>
      <w:r w:rsidRPr="005526B1">
        <w:t xml:space="preserve"> is now used by regulators worldwide:</w:t>
      </w:r>
    </w:p>
    <w:p w14:paraId="3E50582E" w14:textId="77777777" w:rsidR="005526B1" w:rsidRPr="005526B1" w:rsidRDefault="005526B1" w:rsidP="005526B1">
      <w:pPr>
        <w:numPr>
          <w:ilvl w:val="0"/>
          <w:numId w:val="6"/>
        </w:numPr>
      </w:pPr>
      <w:r w:rsidRPr="005526B1">
        <w:t>ECB 2022 Climate Stress Test</w:t>
      </w:r>
    </w:p>
    <w:p w14:paraId="2B53BD5F" w14:textId="77777777" w:rsidR="005526B1" w:rsidRPr="005526B1" w:rsidRDefault="005526B1" w:rsidP="005526B1">
      <w:pPr>
        <w:numPr>
          <w:ilvl w:val="0"/>
          <w:numId w:val="6"/>
        </w:numPr>
      </w:pPr>
      <w:r w:rsidRPr="005526B1">
        <w:t>BoE CBES</w:t>
      </w:r>
    </w:p>
    <w:p w14:paraId="4694A520" w14:textId="77777777" w:rsidR="005526B1" w:rsidRPr="005526B1" w:rsidRDefault="005526B1" w:rsidP="005526B1">
      <w:pPr>
        <w:numPr>
          <w:ilvl w:val="0"/>
          <w:numId w:val="6"/>
        </w:numPr>
      </w:pPr>
      <w:r w:rsidRPr="005526B1">
        <w:t>NGFS climate scenario toolkit</w:t>
      </w:r>
      <w:commentRangeEnd w:id="9"/>
      <w:r w:rsidR="002F1BAE">
        <w:rPr>
          <w:rStyle w:val="CommentReference"/>
        </w:rPr>
        <w:commentReference w:id="9"/>
      </w:r>
    </w:p>
    <w:p w14:paraId="4F8F9EA1" w14:textId="77777777" w:rsidR="005526B1" w:rsidRPr="005526B1" w:rsidRDefault="005526B1" w:rsidP="005526B1">
      <w:pPr>
        <w:rPr>
          <w:b/>
          <w:bCs/>
        </w:rPr>
      </w:pPr>
      <w:r w:rsidRPr="005526B1">
        <w:rPr>
          <w:rFonts w:ascii="Segoe UI Emoji" w:hAnsi="Segoe UI Emoji" w:cs="Segoe UI Emoji"/>
          <w:b/>
          <w:bCs/>
        </w:rPr>
        <w:t>✅</w:t>
      </w:r>
      <w:r w:rsidRPr="005526B1">
        <w:rPr>
          <w:b/>
          <w:bCs/>
        </w:rPr>
        <w:t xml:space="preserve"> What stress testing does well:</w:t>
      </w:r>
    </w:p>
    <w:p w14:paraId="53C576CE" w14:textId="77777777" w:rsidR="005526B1" w:rsidRPr="005526B1" w:rsidRDefault="005526B1" w:rsidP="005526B1">
      <w:pPr>
        <w:numPr>
          <w:ilvl w:val="0"/>
          <w:numId w:val="7"/>
        </w:numPr>
      </w:pPr>
      <w:r w:rsidRPr="005526B1">
        <w:t>Raises internal awareness and board engagement</w:t>
      </w:r>
    </w:p>
    <w:p w14:paraId="596BA163" w14:textId="77777777" w:rsidR="005526B1" w:rsidRPr="005526B1" w:rsidRDefault="005526B1" w:rsidP="005526B1">
      <w:pPr>
        <w:numPr>
          <w:ilvl w:val="0"/>
          <w:numId w:val="7"/>
        </w:numPr>
      </w:pPr>
      <w:r w:rsidRPr="005526B1">
        <w:t xml:space="preserve">Identifies vulnerable exposures (e.g. fossil fuels, </w:t>
      </w:r>
      <w:proofErr w:type="spellStart"/>
      <w:r w:rsidRPr="005526B1">
        <w:t>agri</w:t>
      </w:r>
      <w:proofErr w:type="spellEnd"/>
      <w:r w:rsidRPr="005526B1">
        <w:t>, property)</w:t>
      </w:r>
    </w:p>
    <w:p w14:paraId="111B4A07" w14:textId="77777777" w:rsidR="005526B1" w:rsidRPr="005526B1" w:rsidRDefault="005526B1" w:rsidP="005526B1">
      <w:pPr>
        <w:numPr>
          <w:ilvl w:val="0"/>
          <w:numId w:val="7"/>
        </w:numPr>
      </w:pPr>
      <w:r w:rsidRPr="005526B1">
        <w:t>Projects long-term losses under disorderly transition or physical risk scenarios</w:t>
      </w:r>
    </w:p>
    <w:p w14:paraId="5EF3BA12" w14:textId="77777777" w:rsidR="005526B1" w:rsidRPr="005526B1" w:rsidRDefault="005526B1" w:rsidP="005526B1">
      <w:r w:rsidRPr="005526B1">
        <w:t>“The ECB found some banks could lose 30–50% of value in key climate-exposed portfolios.”</w:t>
      </w:r>
    </w:p>
    <w:p w14:paraId="473621F9" w14:textId="77777777" w:rsidR="005526B1" w:rsidRPr="005526B1" w:rsidRDefault="00681AF0" w:rsidP="005526B1">
      <w:r>
        <w:pict w14:anchorId="3BD23ED6">
          <v:rect id="_x0000_i1038" style="width:0;height:1.5pt" o:hralign="center" o:hrstd="t" o:hr="t" fillcolor="#a0a0a0" stroked="f"/>
        </w:pict>
      </w:r>
    </w:p>
    <w:p w14:paraId="02C23AB5" w14:textId="77777777" w:rsidR="005526B1" w:rsidRPr="005526B1" w:rsidRDefault="005526B1" w:rsidP="005526B1">
      <w:pPr>
        <w:rPr>
          <w:b/>
          <w:bCs/>
        </w:rPr>
      </w:pPr>
      <w:r w:rsidRPr="005526B1">
        <w:rPr>
          <w:rFonts w:ascii="Segoe UI Emoji" w:hAnsi="Segoe UI Emoji" w:cs="Segoe UI Emoji"/>
          <w:b/>
          <w:bCs/>
        </w:rPr>
        <w:t>❗</w:t>
      </w:r>
      <w:r w:rsidRPr="005526B1">
        <w:rPr>
          <w:b/>
          <w:bCs/>
        </w:rPr>
        <w:t>But Here’s the Limitation:</w:t>
      </w:r>
    </w:p>
    <w:p w14:paraId="7052DEC8" w14:textId="77777777" w:rsidR="005526B1" w:rsidRPr="005526B1" w:rsidRDefault="005526B1" w:rsidP="005526B1">
      <w:r w:rsidRPr="005526B1">
        <w:rPr>
          <w:b/>
          <w:bCs/>
        </w:rPr>
        <w:t>Stress tests diagnose—but they don’t prescribe.</w:t>
      </w:r>
    </w:p>
    <w:p w14:paraId="3639A53B" w14:textId="77777777" w:rsidR="005526B1" w:rsidRPr="005526B1" w:rsidRDefault="005526B1" w:rsidP="005526B1">
      <w:pPr>
        <w:numPr>
          <w:ilvl w:val="0"/>
          <w:numId w:val="8"/>
        </w:numPr>
      </w:pPr>
      <w:r w:rsidRPr="005526B1">
        <w:t>Results are not probability-weighted</w:t>
      </w:r>
    </w:p>
    <w:p w14:paraId="5C849BAD" w14:textId="77777777" w:rsidR="005526B1" w:rsidRPr="005526B1" w:rsidRDefault="005526B1" w:rsidP="005526B1">
      <w:pPr>
        <w:numPr>
          <w:ilvl w:val="0"/>
          <w:numId w:val="8"/>
        </w:numPr>
      </w:pPr>
      <w:r w:rsidRPr="005526B1">
        <w:lastRenderedPageBreak/>
        <w:t>Supervisory responses are often qualitative (e.g., governance review, soft Pillar 2 guidance)</w:t>
      </w:r>
    </w:p>
    <w:p w14:paraId="6655347B" w14:textId="77777777" w:rsidR="005526B1" w:rsidRPr="005526B1" w:rsidRDefault="005526B1" w:rsidP="005526B1">
      <w:pPr>
        <w:numPr>
          <w:ilvl w:val="0"/>
          <w:numId w:val="8"/>
        </w:numPr>
      </w:pPr>
      <w:r w:rsidRPr="005526B1">
        <w:t>Outputs are not standardized enough to inform pricing, capital allocation, or loan structuring</w:t>
      </w:r>
    </w:p>
    <w:p w14:paraId="6DCB3D74" w14:textId="77777777" w:rsidR="005526B1" w:rsidRPr="005526B1" w:rsidRDefault="005526B1" w:rsidP="005526B1">
      <w:r w:rsidRPr="005526B1">
        <w:t>“We run the fire drill. Then we leave the sprinklers off.”</w:t>
      </w:r>
    </w:p>
    <w:p w14:paraId="29018520" w14:textId="77777777" w:rsidR="005526B1" w:rsidRPr="005526B1" w:rsidRDefault="00681AF0" w:rsidP="005526B1">
      <w:r>
        <w:pict w14:anchorId="0BC172EF">
          <v:rect id="_x0000_i1039" style="width:0;height:1.5pt" o:hralign="center" o:hrstd="t" o:hr="t" fillcolor="#a0a0a0" stroked="f"/>
        </w:pict>
      </w:r>
    </w:p>
    <w:p w14:paraId="3A5CEB60" w14:textId="77777777" w:rsidR="005526B1" w:rsidRPr="005526B1" w:rsidRDefault="005526B1" w:rsidP="005526B1">
      <w:pPr>
        <w:rPr>
          <w:b/>
          <w:bCs/>
        </w:rPr>
      </w:pPr>
      <w:r w:rsidRPr="005526B1">
        <w:rPr>
          <w:rFonts w:ascii="Segoe UI Emoji" w:hAnsi="Segoe UI Emoji" w:cs="Segoe UI Emoji"/>
          <w:b/>
          <w:bCs/>
        </w:rPr>
        <w:t>🔹</w:t>
      </w:r>
      <w:r w:rsidRPr="005526B1">
        <w:rPr>
          <w:b/>
          <w:bCs/>
        </w:rPr>
        <w:t xml:space="preserve"> 4. Why Stress Testing Can’t Price Risk</w:t>
      </w:r>
    </w:p>
    <w:p w14:paraId="19BE980C" w14:textId="77777777" w:rsidR="005526B1" w:rsidRPr="005526B1" w:rsidRDefault="005526B1" w:rsidP="005526B1">
      <w:r w:rsidRPr="005526B1">
        <w:t>“Stress tests ask ‘what if?’ Pricing asks ‘what now?’ The two don’t speak the same language.”</w:t>
      </w:r>
    </w:p>
    <w:p w14:paraId="3FDBB37D" w14:textId="77777777" w:rsidR="005526B1" w:rsidRPr="005526B1" w:rsidRDefault="005526B1" w:rsidP="005526B1">
      <w:pPr>
        <w:rPr>
          <w:b/>
          <w:bCs/>
        </w:rPr>
      </w:pPr>
      <w:r w:rsidRPr="005526B1">
        <w:rPr>
          <w:rFonts w:ascii="Segoe UI Emoji" w:hAnsi="Segoe UI Emoji" w:cs="Segoe UI Emoji"/>
          <w:b/>
          <w:bCs/>
        </w:rPr>
        <w:t>🧮</w:t>
      </w:r>
      <w:r w:rsidRPr="005526B1">
        <w:rPr>
          <w:b/>
          <w:bCs/>
        </w:rPr>
        <w:t xml:space="preserve"> Why Stress Testing Fails as a Pricing Tool:</w:t>
      </w:r>
    </w:p>
    <w:p w14:paraId="6A81A5EA" w14:textId="77777777" w:rsidR="005526B1" w:rsidRPr="005526B1" w:rsidRDefault="005526B1" w:rsidP="005526B1">
      <w:pPr>
        <w:numPr>
          <w:ilvl w:val="0"/>
          <w:numId w:val="9"/>
        </w:numPr>
      </w:pPr>
      <w:r w:rsidRPr="005526B1">
        <w:rPr>
          <w:b/>
          <w:bCs/>
        </w:rPr>
        <w:t>No statistical base</w:t>
      </w:r>
      <w:r w:rsidRPr="005526B1">
        <w:br/>
        <w:t>→ Scenarios are not expected outcomes; they’re narratives.</w:t>
      </w:r>
    </w:p>
    <w:p w14:paraId="0AC6E43E" w14:textId="77777777" w:rsidR="005526B1" w:rsidRPr="005526B1" w:rsidRDefault="005526B1" w:rsidP="005526B1">
      <w:pPr>
        <w:numPr>
          <w:ilvl w:val="0"/>
          <w:numId w:val="9"/>
        </w:numPr>
      </w:pPr>
      <w:r w:rsidRPr="005526B1">
        <w:rPr>
          <w:b/>
          <w:bCs/>
        </w:rPr>
        <w:t>Volatile assumptions</w:t>
      </w:r>
      <w:r w:rsidRPr="005526B1">
        <w:br/>
        <w:t>→ Every new stress test introduces new results—pricing can’t keep up.</w:t>
      </w:r>
    </w:p>
    <w:p w14:paraId="0B2ED706" w14:textId="77777777" w:rsidR="005526B1" w:rsidRPr="005526B1" w:rsidRDefault="005526B1" w:rsidP="005526B1">
      <w:pPr>
        <w:numPr>
          <w:ilvl w:val="0"/>
          <w:numId w:val="9"/>
        </w:numPr>
      </w:pPr>
      <w:r w:rsidRPr="005526B1">
        <w:rPr>
          <w:b/>
          <w:bCs/>
        </w:rPr>
        <w:t>No comparability</w:t>
      </w:r>
      <w:r w:rsidRPr="005526B1">
        <w:br/>
        <w:t>→ Different assumptions → inconsistent outputs across institutions.</w:t>
      </w:r>
    </w:p>
    <w:p w14:paraId="1EFBB302" w14:textId="77777777" w:rsidR="005526B1" w:rsidRPr="005526B1" w:rsidRDefault="005526B1" w:rsidP="005526B1">
      <w:pPr>
        <w:numPr>
          <w:ilvl w:val="0"/>
          <w:numId w:val="9"/>
        </w:numPr>
      </w:pPr>
      <w:r w:rsidRPr="005526B1">
        <w:rPr>
          <w:b/>
          <w:bCs/>
        </w:rPr>
        <w:t>Pricing needs stability</w:t>
      </w:r>
      <w:r w:rsidRPr="005526B1">
        <w:br/>
        <w:t>→ You can’t reprice every loan every time the NGFS tweaks carbon pricing.</w:t>
      </w:r>
    </w:p>
    <w:p w14:paraId="390F258D" w14:textId="77777777" w:rsidR="005526B1" w:rsidRPr="005526B1" w:rsidRDefault="005526B1" w:rsidP="005526B1">
      <w:r w:rsidRPr="005526B1">
        <w:t>“You wouldn’t quote a mortgage based on tomorrow’s earthquake simulation. Likewise, stress tests can’t price credit.”</w:t>
      </w:r>
    </w:p>
    <w:p w14:paraId="15205330" w14:textId="77777777" w:rsidR="005526B1" w:rsidRPr="005526B1" w:rsidRDefault="00681AF0" w:rsidP="005526B1">
      <w:r>
        <w:pict w14:anchorId="1762F07A">
          <v:rect id="_x0000_i1040" style="width:0;height:1.5pt" o:hralign="center" o:hrstd="t" o:hr="t" fillcolor="#a0a0a0" stroked="f"/>
        </w:pict>
      </w:r>
    </w:p>
    <w:p w14:paraId="14241E6C" w14:textId="77777777" w:rsidR="005526B1" w:rsidRPr="005526B1" w:rsidRDefault="005526B1" w:rsidP="005526B1">
      <w:pPr>
        <w:rPr>
          <w:b/>
          <w:bCs/>
        </w:rPr>
      </w:pPr>
      <w:r w:rsidRPr="005526B1">
        <w:rPr>
          <w:rFonts w:ascii="Segoe UI Emoji" w:hAnsi="Segoe UI Emoji" w:cs="Segoe UI Emoji"/>
          <w:b/>
          <w:bCs/>
        </w:rPr>
        <w:t>🔹</w:t>
      </w:r>
      <w:r w:rsidRPr="005526B1">
        <w:rPr>
          <w:b/>
          <w:bCs/>
        </w:rPr>
        <w:t xml:space="preserve"> 5. Capital: The Subtle Climate Policy Tool We’re Ignoring</w:t>
      </w:r>
    </w:p>
    <w:p w14:paraId="48AFE1BC" w14:textId="77777777" w:rsidR="005526B1" w:rsidRPr="005526B1" w:rsidRDefault="005526B1" w:rsidP="005526B1">
      <w:r w:rsidRPr="005526B1">
        <w:t>“If divestment is a sledgehammer, capital is a scalpel.”</w:t>
      </w:r>
    </w:p>
    <w:p w14:paraId="1E73D499" w14:textId="77777777" w:rsidR="005526B1" w:rsidRPr="005526B1" w:rsidRDefault="005526B1" w:rsidP="005526B1">
      <w:pPr>
        <w:rPr>
          <w:b/>
          <w:bCs/>
        </w:rPr>
      </w:pPr>
      <w:r w:rsidRPr="005526B1">
        <w:rPr>
          <w:b/>
          <w:bCs/>
        </w:rPr>
        <w:t>Why Capital Incentives Work:</w:t>
      </w:r>
    </w:p>
    <w:p w14:paraId="5CAFA941" w14:textId="77777777" w:rsidR="005526B1" w:rsidRPr="005526B1" w:rsidRDefault="005526B1" w:rsidP="005526B1">
      <w:pPr>
        <w:numPr>
          <w:ilvl w:val="0"/>
          <w:numId w:val="10"/>
        </w:numPr>
      </w:pPr>
      <w:r w:rsidRPr="005526B1">
        <w:rPr>
          <w:b/>
          <w:bCs/>
        </w:rPr>
        <w:t>They preserve optionality</w:t>
      </w:r>
      <w:r w:rsidRPr="005526B1">
        <w:t>: Banks can still lend, but must justify risk.</w:t>
      </w:r>
    </w:p>
    <w:p w14:paraId="59FCFAE1" w14:textId="77777777" w:rsidR="005526B1" w:rsidRPr="005526B1" w:rsidRDefault="005526B1" w:rsidP="005526B1">
      <w:pPr>
        <w:numPr>
          <w:ilvl w:val="0"/>
          <w:numId w:val="10"/>
        </w:numPr>
      </w:pPr>
      <w:r w:rsidRPr="005526B1">
        <w:rPr>
          <w:b/>
          <w:bCs/>
        </w:rPr>
        <w:t>They align risk with cost</w:t>
      </w:r>
      <w:r w:rsidRPr="005526B1">
        <w:t>: Higher risk → higher capital → higher spread.</w:t>
      </w:r>
    </w:p>
    <w:p w14:paraId="59316287" w14:textId="77777777" w:rsidR="005526B1" w:rsidRPr="005526B1" w:rsidRDefault="005526B1" w:rsidP="005526B1">
      <w:pPr>
        <w:numPr>
          <w:ilvl w:val="0"/>
          <w:numId w:val="10"/>
        </w:numPr>
      </w:pPr>
      <w:r w:rsidRPr="005526B1">
        <w:rPr>
          <w:b/>
          <w:bCs/>
        </w:rPr>
        <w:t>They create market-based incentives</w:t>
      </w:r>
      <w:r w:rsidRPr="005526B1">
        <w:t xml:space="preserve"> to reallocate—not just withdraw—credit.</w:t>
      </w:r>
    </w:p>
    <w:p w14:paraId="569DB83F" w14:textId="77777777" w:rsidR="005526B1" w:rsidRPr="005526B1" w:rsidRDefault="005526B1" w:rsidP="005526B1">
      <w:pPr>
        <w:rPr>
          <w:b/>
          <w:bCs/>
        </w:rPr>
      </w:pPr>
      <w:r w:rsidRPr="005526B1">
        <w:rPr>
          <w:rFonts w:ascii="Segoe UI Emoji" w:hAnsi="Segoe UI Emoji" w:cs="Segoe UI Emoji"/>
          <w:b/>
          <w:bCs/>
        </w:rPr>
        <w:t>📊</w:t>
      </w:r>
      <w:r w:rsidRPr="005526B1">
        <w:rPr>
          <w:b/>
          <w:bCs/>
        </w:rPr>
        <w:t xml:space="preserve"> Example:</w:t>
      </w:r>
    </w:p>
    <w:p w14:paraId="7BB2359B" w14:textId="77777777" w:rsidR="005526B1" w:rsidRPr="005526B1" w:rsidRDefault="005526B1" w:rsidP="005526B1">
      <w:pPr>
        <w:numPr>
          <w:ilvl w:val="0"/>
          <w:numId w:val="11"/>
        </w:numPr>
      </w:pPr>
      <w:commentRangeStart w:id="10"/>
      <w:commentRangeStart w:id="11"/>
      <w:commentRangeStart w:id="12"/>
      <w:r w:rsidRPr="005526B1">
        <w:t>High-carbon firm → PD↑, ρ↑ → capital↑ → lending↓</w:t>
      </w:r>
      <w:commentRangeEnd w:id="10"/>
      <w:r w:rsidR="00A4625A">
        <w:rPr>
          <w:rStyle w:val="CommentReference"/>
        </w:rPr>
        <w:commentReference w:id="10"/>
      </w:r>
      <w:commentRangeEnd w:id="11"/>
      <w:r w:rsidR="00A4625A">
        <w:rPr>
          <w:rStyle w:val="CommentReference"/>
        </w:rPr>
        <w:commentReference w:id="11"/>
      </w:r>
      <w:commentRangeEnd w:id="12"/>
      <w:r w:rsidR="005D2FDA">
        <w:rPr>
          <w:rStyle w:val="CommentReference"/>
        </w:rPr>
        <w:commentReference w:id="12"/>
      </w:r>
    </w:p>
    <w:p w14:paraId="7EBF6AA6" w14:textId="77777777" w:rsidR="005526B1" w:rsidRPr="005526B1" w:rsidRDefault="005526B1" w:rsidP="005526B1">
      <w:pPr>
        <w:numPr>
          <w:ilvl w:val="0"/>
          <w:numId w:val="11"/>
        </w:numPr>
      </w:pPr>
      <w:r w:rsidRPr="005526B1">
        <w:t>Green firm → lower PD (policy tailwinds), ρ↓ (diversification benefit) → cheaper capital</w:t>
      </w:r>
    </w:p>
    <w:p w14:paraId="106B5F83" w14:textId="77777777" w:rsidR="005526B1" w:rsidRPr="005526B1" w:rsidRDefault="005526B1" w:rsidP="005526B1">
      <w:r w:rsidRPr="005526B1">
        <w:t>“No need to ban brown. Just make it pay its way.”</w:t>
      </w:r>
    </w:p>
    <w:p w14:paraId="023BEC27" w14:textId="77777777" w:rsidR="005526B1" w:rsidRPr="005526B1" w:rsidRDefault="00681AF0" w:rsidP="005526B1">
      <w:r>
        <w:pict w14:anchorId="49B02DE5">
          <v:rect id="_x0000_i1041" style="width:0;height:1.5pt" o:hralign="center" o:hrstd="t" o:hr="t" fillcolor="#a0a0a0" stroked="f"/>
        </w:pict>
      </w:r>
    </w:p>
    <w:p w14:paraId="4FDF3330" w14:textId="77777777" w:rsidR="005526B1" w:rsidRPr="005526B1" w:rsidRDefault="005526B1" w:rsidP="005526B1">
      <w:pPr>
        <w:rPr>
          <w:b/>
          <w:bCs/>
        </w:rPr>
      </w:pPr>
      <w:r w:rsidRPr="005526B1">
        <w:rPr>
          <w:rFonts w:ascii="Segoe UI Emoji" w:hAnsi="Segoe UI Emoji" w:cs="Segoe UI Emoji"/>
          <w:b/>
          <w:bCs/>
        </w:rPr>
        <w:t>🔹</w:t>
      </w:r>
      <w:r w:rsidRPr="005526B1">
        <w:rPr>
          <w:b/>
          <w:bCs/>
        </w:rPr>
        <w:t xml:space="preserve"> 6. What Would a </w:t>
      </w:r>
      <w:proofErr w:type="spellStart"/>
      <w:r w:rsidRPr="005526B1">
        <w:rPr>
          <w:b/>
          <w:bCs/>
        </w:rPr>
        <w:t>ClimateMetrics</w:t>
      </w:r>
      <w:proofErr w:type="spellEnd"/>
      <w:r w:rsidRPr="005526B1">
        <w:rPr>
          <w:b/>
          <w:bCs/>
        </w:rPr>
        <w:t>™ Look Like?</w:t>
      </w:r>
    </w:p>
    <w:p w14:paraId="40BB99EC" w14:textId="77777777" w:rsidR="005526B1" w:rsidRPr="005526B1" w:rsidRDefault="005526B1" w:rsidP="005526B1">
      <w:r w:rsidRPr="005526B1">
        <w:t>“We don’t need new regulations. We need new inputs to the formulas we already use.”</w:t>
      </w:r>
    </w:p>
    <w:p w14:paraId="780CC946" w14:textId="77777777" w:rsidR="005526B1" w:rsidRPr="005526B1" w:rsidRDefault="005526B1" w:rsidP="005526B1">
      <w:pPr>
        <w:rPr>
          <w:b/>
          <w:bCs/>
        </w:rPr>
      </w:pPr>
      <w:proofErr w:type="spellStart"/>
      <w:r w:rsidRPr="005526B1">
        <w:rPr>
          <w:b/>
          <w:bCs/>
        </w:rPr>
        <w:t>ClimateMetrics</w:t>
      </w:r>
      <w:proofErr w:type="spellEnd"/>
      <w:r w:rsidRPr="005526B1">
        <w:rPr>
          <w:b/>
          <w:bCs/>
        </w:rPr>
        <w:t>™ Would Include:</w:t>
      </w:r>
    </w:p>
    <w:p w14:paraId="1D927AC4" w14:textId="77777777" w:rsidR="005526B1" w:rsidRPr="005526B1" w:rsidRDefault="005526B1" w:rsidP="005526B1">
      <w:pPr>
        <w:numPr>
          <w:ilvl w:val="0"/>
          <w:numId w:val="12"/>
        </w:numPr>
      </w:pPr>
      <w:r w:rsidRPr="005526B1">
        <w:lastRenderedPageBreak/>
        <w:t>Climate-adjusted PDs and correlations</w:t>
      </w:r>
    </w:p>
    <w:p w14:paraId="177C8041" w14:textId="77777777" w:rsidR="005526B1" w:rsidRPr="005526B1" w:rsidRDefault="005526B1" w:rsidP="005526B1">
      <w:pPr>
        <w:numPr>
          <w:ilvl w:val="0"/>
          <w:numId w:val="12"/>
        </w:numPr>
      </w:pPr>
      <w:r w:rsidRPr="005526B1">
        <w:t>Built from NGFS and CMIP6 scenario pathways</w:t>
      </w:r>
    </w:p>
    <w:p w14:paraId="1E51094B" w14:textId="77777777" w:rsidR="005526B1" w:rsidRPr="005526B1" w:rsidRDefault="005526B1" w:rsidP="005526B1">
      <w:pPr>
        <w:numPr>
          <w:ilvl w:val="0"/>
          <w:numId w:val="12"/>
        </w:numPr>
      </w:pPr>
      <w:r w:rsidRPr="005526B1">
        <w:t>Sector- and region-specific calibration</w:t>
      </w:r>
    </w:p>
    <w:p w14:paraId="25DE4742" w14:textId="77777777" w:rsidR="005526B1" w:rsidRPr="005526B1" w:rsidRDefault="005526B1" w:rsidP="005526B1">
      <w:pPr>
        <w:numPr>
          <w:ilvl w:val="0"/>
          <w:numId w:val="12"/>
        </w:numPr>
      </w:pPr>
      <w:r w:rsidRPr="005526B1">
        <w:t>Open-source governance</w:t>
      </w:r>
    </w:p>
    <w:p w14:paraId="5B606D9E" w14:textId="77777777" w:rsidR="005526B1" w:rsidRPr="005526B1" w:rsidRDefault="005526B1" w:rsidP="005526B1">
      <w:pPr>
        <w:numPr>
          <w:ilvl w:val="0"/>
          <w:numId w:val="12"/>
        </w:numPr>
      </w:pPr>
      <w:r w:rsidRPr="005526B1">
        <w:t>Designed to integrate with Basel II/III</w:t>
      </w:r>
    </w:p>
    <w:p w14:paraId="1D5A1A8C" w14:textId="77777777" w:rsidR="005526B1" w:rsidRDefault="005526B1" w:rsidP="005526B1">
      <w:r w:rsidRPr="005526B1">
        <w:t>“</w:t>
      </w:r>
      <w:proofErr w:type="spellStart"/>
      <w:r w:rsidRPr="005526B1">
        <w:t>CreditMetrics</w:t>
      </w:r>
      <w:proofErr w:type="spellEnd"/>
      <w:r w:rsidRPr="005526B1">
        <w:t xml:space="preserve">™ was the last great open model in finance. </w:t>
      </w:r>
      <w:proofErr w:type="spellStart"/>
      <w:r w:rsidRPr="005526B1">
        <w:t>ClimateMetrics</w:t>
      </w:r>
      <w:proofErr w:type="spellEnd"/>
      <w:r w:rsidRPr="005526B1">
        <w:t>™ could be the next.”</w:t>
      </w:r>
    </w:p>
    <w:p w14:paraId="670511B4" w14:textId="77777777" w:rsidR="00C30114" w:rsidRDefault="00C30114" w:rsidP="005526B1"/>
    <w:p w14:paraId="5D895CDB" w14:textId="77777777" w:rsidR="00C30114" w:rsidRPr="00C30114" w:rsidRDefault="00C30114" w:rsidP="00C30114">
      <w:pPr>
        <w:rPr>
          <w:b/>
          <w:bCs/>
        </w:rPr>
      </w:pPr>
      <w:r w:rsidRPr="00C30114">
        <w:rPr>
          <w:rFonts w:ascii="Segoe UI Emoji" w:hAnsi="Segoe UI Emoji" w:cs="Segoe UI Emoji"/>
          <w:b/>
          <w:bCs/>
        </w:rPr>
        <w:t>🔹</w:t>
      </w:r>
      <w:r w:rsidRPr="00C30114">
        <w:rPr>
          <w:b/>
          <w:bCs/>
        </w:rPr>
        <w:t xml:space="preserve"> 6A. Who Should Fix This — Regulators, Banks, or Both?</w:t>
      </w:r>
    </w:p>
    <w:p w14:paraId="79BC27E1" w14:textId="77777777" w:rsidR="00C30114" w:rsidRPr="00C30114" w:rsidRDefault="00C30114" w:rsidP="00C30114">
      <w:r w:rsidRPr="00C30114">
        <w:t>“There’s a tension here I want to be honest about.”</w:t>
      </w:r>
    </w:p>
    <w:p w14:paraId="4252D946" w14:textId="77777777" w:rsidR="00C30114" w:rsidRPr="00C30114" w:rsidRDefault="00C30114" w:rsidP="00C30114">
      <w:r w:rsidRPr="00C30114">
        <w:t xml:space="preserve">In the 1990s, it wasn’t regulators who created </w:t>
      </w:r>
      <w:proofErr w:type="spellStart"/>
      <w:r w:rsidRPr="00C30114">
        <w:t>CreditMetrics</w:t>
      </w:r>
      <w:proofErr w:type="spellEnd"/>
      <w:r w:rsidRPr="00C30114">
        <w:t>™. It was banks. Voluntarily. Collaboratively. Publicly.</w:t>
      </w:r>
    </w:p>
    <w:p w14:paraId="7F663A0D" w14:textId="77777777" w:rsidR="00C30114" w:rsidRPr="00C30114" w:rsidRDefault="00C30114" w:rsidP="00C30114">
      <w:r w:rsidRPr="00C30114">
        <w:t xml:space="preserve">But today, we’re asking </w:t>
      </w:r>
      <w:r w:rsidRPr="00C30114">
        <w:rPr>
          <w:b/>
          <w:bCs/>
        </w:rPr>
        <w:t>regulators</w:t>
      </w:r>
      <w:r w:rsidRPr="00C30114">
        <w:t xml:space="preserve"> to drive this change. Why?</w:t>
      </w:r>
    </w:p>
    <w:p w14:paraId="0FCE0CF2" w14:textId="77777777" w:rsidR="00C30114" w:rsidRPr="00C30114" w:rsidRDefault="00C30114" w:rsidP="00C30114">
      <w:pPr>
        <w:rPr>
          <w:b/>
          <w:bCs/>
        </w:rPr>
      </w:pPr>
      <w:r w:rsidRPr="00C30114">
        <w:rPr>
          <w:rFonts w:ascii="Segoe UI Emoji" w:hAnsi="Segoe UI Emoji" w:cs="Segoe UI Emoji"/>
          <w:b/>
          <w:bCs/>
        </w:rPr>
        <w:t>🧠</w:t>
      </w:r>
      <w:r w:rsidRPr="00C30114">
        <w:rPr>
          <w:b/>
          <w:bCs/>
        </w:rPr>
        <w:t xml:space="preserve"> It’s because the system has changed:</w:t>
      </w:r>
    </w:p>
    <w:p w14:paraId="6ED35C14" w14:textId="77777777" w:rsidR="00C30114" w:rsidRPr="00C30114" w:rsidRDefault="00C30114" w:rsidP="00C30114">
      <w:pPr>
        <w:numPr>
          <w:ilvl w:val="0"/>
          <w:numId w:val="17"/>
        </w:numPr>
      </w:pPr>
      <w:r w:rsidRPr="00C30114">
        <w:t>Banks used to share models to shape the ecosystem.</w:t>
      </w:r>
    </w:p>
    <w:p w14:paraId="3D806600" w14:textId="77777777" w:rsidR="00C30114" w:rsidRPr="00C30114" w:rsidRDefault="00C30114" w:rsidP="00C30114">
      <w:pPr>
        <w:numPr>
          <w:ilvl w:val="0"/>
          <w:numId w:val="17"/>
        </w:numPr>
      </w:pPr>
      <w:r w:rsidRPr="00C30114">
        <w:t>Now they’re penalized for sharing, or even for using someone else’s assumptions.</w:t>
      </w:r>
    </w:p>
    <w:p w14:paraId="01D5D5DC" w14:textId="77777777" w:rsidR="00C30114" w:rsidRPr="00C30114" w:rsidRDefault="00C30114" w:rsidP="00C30114">
      <w:pPr>
        <w:numPr>
          <w:ilvl w:val="0"/>
          <w:numId w:val="17"/>
        </w:numPr>
      </w:pPr>
      <w:r w:rsidRPr="00C30114">
        <w:t xml:space="preserve">Regulation has made the system more </w:t>
      </w:r>
      <w:r w:rsidRPr="00C30114">
        <w:rPr>
          <w:b/>
          <w:bCs/>
        </w:rPr>
        <w:t>stable</w:t>
      </w:r>
      <w:r w:rsidRPr="00C30114">
        <w:t xml:space="preserve"> — but also more </w:t>
      </w:r>
      <w:r w:rsidRPr="00C30114">
        <w:rPr>
          <w:b/>
          <w:bCs/>
        </w:rPr>
        <w:t>rigid</w:t>
      </w:r>
      <w:r w:rsidRPr="00C30114">
        <w:t>.</w:t>
      </w:r>
    </w:p>
    <w:p w14:paraId="037A13D2" w14:textId="77777777" w:rsidR="00C30114" w:rsidRPr="00C30114" w:rsidRDefault="00C30114" w:rsidP="00C30114">
      <w:r w:rsidRPr="00C30114">
        <w:t xml:space="preserve">“We’re in a place where </w:t>
      </w:r>
      <w:r w:rsidRPr="00C30114">
        <w:rPr>
          <w:b/>
          <w:bCs/>
        </w:rPr>
        <w:t>the only actor with enough freedom to coordinate change is the regulator</w:t>
      </w:r>
      <w:r w:rsidRPr="00C30114">
        <w:t xml:space="preserve"> — even though they didn’t build the first version.”</w:t>
      </w:r>
    </w:p>
    <w:p w14:paraId="7D5709EC" w14:textId="77777777" w:rsidR="00C30114" w:rsidRPr="00C30114" w:rsidRDefault="00681AF0" w:rsidP="00C30114">
      <w:r>
        <w:pict w14:anchorId="19BCCEEA">
          <v:rect id="_x0000_i1042" style="width:0;height:1.5pt" o:hralign="center" o:hrstd="t" o:hr="t" fillcolor="#a0a0a0" stroked="f"/>
        </w:pict>
      </w:r>
    </w:p>
    <w:p w14:paraId="0F24A122" w14:textId="77777777" w:rsidR="00C30114" w:rsidRPr="00C30114" w:rsidRDefault="00C30114" w:rsidP="00C30114">
      <w:pPr>
        <w:rPr>
          <w:b/>
          <w:bCs/>
        </w:rPr>
      </w:pPr>
      <w:r w:rsidRPr="00C30114">
        <w:rPr>
          <w:rFonts w:ascii="Segoe UI Emoji" w:hAnsi="Segoe UI Emoji" w:cs="Segoe UI Emoji"/>
          <w:b/>
          <w:bCs/>
        </w:rPr>
        <w:t>💭</w:t>
      </w:r>
      <w:r w:rsidRPr="00C30114">
        <w:rPr>
          <w:b/>
          <w:bCs/>
        </w:rPr>
        <w:t xml:space="preserve"> So should we be asking regulators to </w:t>
      </w:r>
      <w:r w:rsidRPr="00C30114">
        <w:rPr>
          <w:b/>
          <w:bCs/>
          <w:i/>
          <w:iCs/>
        </w:rPr>
        <w:t>fix it</w:t>
      </w:r>
      <w:r w:rsidRPr="00C30114">
        <w:rPr>
          <w:b/>
          <w:bCs/>
        </w:rPr>
        <w:t xml:space="preserve"> — or to </w:t>
      </w:r>
      <w:r w:rsidRPr="00C30114">
        <w:rPr>
          <w:b/>
          <w:bCs/>
          <w:i/>
          <w:iCs/>
        </w:rPr>
        <w:t>unblock it</w:t>
      </w:r>
      <w:r w:rsidRPr="00C30114">
        <w:rPr>
          <w:b/>
          <w:bCs/>
        </w:rPr>
        <w:t>?</w:t>
      </w:r>
    </w:p>
    <w:p w14:paraId="0B464A08" w14:textId="77777777" w:rsidR="00C30114" w:rsidRPr="00C30114" w:rsidRDefault="00C30114" w:rsidP="00C30114">
      <w:r w:rsidRPr="00C30114">
        <w:t>Maybe the better question is:</w:t>
      </w:r>
    </w:p>
    <w:p w14:paraId="2292BC9F" w14:textId="77777777" w:rsidR="00C30114" w:rsidRPr="00C30114" w:rsidRDefault="00C30114" w:rsidP="00C30114">
      <w:r w:rsidRPr="00C30114">
        <w:t xml:space="preserve">“Can we create a regulatory environment that </w:t>
      </w:r>
      <w:r w:rsidRPr="00C30114">
        <w:rPr>
          <w:b/>
          <w:bCs/>
        </w:rPr>
        <w:t>rewards collaborative infrastructure</w:t>
      </w:r>
      <w:r w:rsidRPr="00C30114">
        <w:t xml:space="preserve"> like </w:t>
      </w:r>
      <w:proofErr w:type="spellStart"/>
      <w:r w:rsidRPr="00C30114">
        <w:t>CreditMetrics</w:t>
      </w:r>
      <w:proofErr w:type="spellEnd"/>
      <w:r w:rsidRPr="00C30114">
        <w:t>™?”</w:t>
      </w:r>
    </w:p>
    <w:p w14:paraId="725ADD93" w14:textId="77777777" w:rsidR="00C30114" w:rsidRPr="00C30114" w:rsidRDefault="00C30114" w:rsidP="00C30114">
      <w:pPr>
        <w:numPr>
          <w:ilvl w:val="0"/>
          <w:numId w:val="18"/>
        </w:numPr>
      </w:pPr>
      <w:r w:rsidRPr="00C30114">
        <w:t>Could we:</w:t>
      </w:r>
    </w:p>
    <w:p w14:paraId="22F34AFD" w14:textId="77777777" w:rsidR="00C30114" w:rsidRPr="00C30114" w:rsidRDefault="00C30114" w:rsidP="00C30114">
      <w:pPr>
        <w:numPr>
          <w:ilvl w:val="1"/>
          <w:numId w:val="18"/>
        </w:numPr>
      </w:pPr>
      <w:r w:rsidRPr="00C30114">
        <w:t xml:space="preserve">Recognize public risk model contributions as a </w:t>
      </w:r>
      <w:r w:rsidRPr="00C30114">
        <w:rPr>
          <w:b/>
          <w:bCs/>
        </w:rPr>
        <w:t>Pillar 2 capital offset</w:t>
      </w:r>
      <w:r w:rsidRPr="00C30114">
        <w:t>?</w:t>
      </w:r>
    </w:p>
    <w:p w14:paraId="6A9085AD" w14:textId="77777777" w:rsidR="00C30114" w:rsidRPr="00C30114" w:rsidRDefault="00C30114" w:rsidP="00C30114">
      <w:pPr>
        <w:numPr>
          <w:ilvl w:val="1"/>
          <w:numId w:val="18"/>
        </w:numPr>
      </w:pPr>
      <w:r w:rsidRPr="00C30114">
        <w:t xml:space="preserve">Incentivize pre-competitive model development via </w:t>
      </w:r>
      <w:r w:rsidRPr="00C30114">
        <w:rPr>
          <w:b/>
          <w:bCs/>
        </w:rPr>
        <w:t>sandbox frameworks</w:t>
      </w:r>
      <w:r w:rsidRPr="00C30114">
        <w:t>?</w:t>
      </w:r>
    </w:p>
    <w:p w14:paraId="45653FC6" w14:textId="77777777" w:rsidR="00C30114" w:rsidRPr="00C30114" w:rsidRDefault="00C30114" w:rsidP="00C30114">
      <w:pPr>
        <w:numPr>
          <w:ilvl w:val="1"/>
          <w:numId w:val="18"/>
        </w:numPr>
      </w:pPr>
      <w:r w:rsidRPr="00C30114">
        <w:t>Fund academic-industry collaborations through central banks or green investment programs?</w:t>
      </w:r>
    </w:p>
    <w:p w14:paraId="584C676B" w14:textId="77777777" w:rsidR="00C30114" w:rsidRPr="00C30114" w:rsidRDefault="00C30114" w:rsidP="00C30114">
      <w:r w:rsidRPr="00C30114">
        <w:t xml:space="preserve">“Regulators don’t have to write the next </w:t>
      </w:r>
      <w:proofErr w:type="spellStart"/>
      <w:r w:rsidRPr="00C30114">
        <w:t>CreditMetrics</w:t>
      </w:r>
      <w:proofErr w:type="spellEnd"/>
      <w:r w:rsidRPr="00C30114">
        <w:t xml:space="preserve">™—but they could make sure whoever does </w:t>
      </w:r>
      <w:r w:rsidRPr="00C30114">
        <w:rPr>
          <w:i/>
          <w:iCs/>
        </w:rPr>
        <w:t>isn’t punished for trying.</w:t>
      </w:r>
      <w:r w:rsidRPr="00C30114">
        <w:t>”</w:t>
      </w:r>
    </w:p>
    <w:p w14:paraId="06286192" w14:textId="77777777" w:rsidR="00C30114" w:rsidRPr="00C30114" w:rsidRDefault="00681AF0" w:rsidP="00C30114">
      <w:r>
        <w:pict w14:anchorId="7B5A9815">
          <v:rect id="_x0000_i1043" style="width:0;height:1.5pt" o:hralign="center" o:hrstd="t" o:hr="t" fillcolor="#a0a0a0" stroked="f"/>
        </w:pict>
      </w:r>
    </w:p>
    <w:p w14:paraId="1C868BCD" w14:textId="77777777" w:rsidR="00C30114" w:rsidRPr="00C30114" w:rsidRDefault="00C30114" w:rsidP="00C30114">
      <w:r w:rsidRPr="00C30114">
        <w:t xml:space="preserve">“So if we want a </w:t>
      </w:r>
      <w:proofErr w:type="spellStart"/>
      <w:r w:rsidRPr="00C30114">
        <w:t>ClimateMetrics</w:t>
      </w:r>
      <w:proofErr w:type="spellEnd"/>
      <w:r w:rsidRPr="00C30114">
        <w:t>™… who’s going to build it? And who’s going to make sure they’re allowed to?”</w:t>
      </w:r>
    </w:p>
    <w:p w14:paraId="33D7C8DC" w14:textId="77777777" w:rsidR="00C30114" w:rsidRPr="005526B1" w:rsidRDefault="00C30114" w:rsidP="005526B1"/>
    <w:p w14:paraId="24B91FAA" w14:textId="77777777" w:rsidR="005526B1" w:rsidRPr="005526B1" w:rsidRDefault="00681AF0" w:rsidP="005526B1">
      <w:r>
        <w:pict w14:anchorId="06DD7F2A">
          <v:rect id="_x0000_i1044" style="width:0;height:1.5pt" o:hralign="center" o:hrstd="t" o:hr="t" fillcolor="#a0a0a0" stroked="f"/>
        </w:pict>
      </w:r>
    </w:p>
    <w:p w14:paraId="6D007613" w14:textId="77777777" w:rsidR="005526B1" w:rsidRPr="005526B1" w:rsidRDefault="005526B1" w:rsidP="005526B1">
      <w:pPr>
        <w:rPr>
          <w:b/>
          <w:bCs/>
        </w:rPr>
      </w:pPr>
      <w:r w:rsidRPr="005526B1">
        <w:rPr>
          <w:rFonts w:ascii="Segoe UI Emoji" w:hAnsi="Segoe UI Emoji" w:cs="Segoe UI Emoji"/>
          <w:b/>
          <w:bCs/>
        </w:rPr>
        <w:t>🔹</w:t>
      </w:r>
      <w:r w:rsidRPr="005526B1">
        <w:rPr>
          <w:b/>
          <w:bCs/>
        </w:rPr>
        <w:t xml:space="preserve"> 7. Final Challenge to the Group</w:t>
      </w:r>
    </w:p>
    <w:p w14:paraId="45BEB562" w14:textId="77777777" w:rsidR="005526B1" w:rsidRPr="005526B1" w:rsidRDefault="005526B1" w:rsidP="005526B1">
      <w:r w:rsidRPr="005526B1">
        <w:t>“We’ve already built the machine. We just need to feed it the future.”</w:t>
      </w:r>
    </w:p>
    <w:p w14:paraId="40413B75" w14:textId="77777777" w:rsidR="005526B1" w:rsidRPr="005526B1" w:rsidRDefault="005526B1" w:rsidP="005526B1">
      <w:pPr>
        <w:rPr>
          <w:b/>
          <w:bCs/>
        </w:rPr>
      </w:pPr>
      <w:r w:rsidRPr="005526B1">
        <w:rPr>
          <w:rFonts w:ascii="Segoe UI Emoji" w:hAnsi="Segoe UI Emoji" w:cs="Segoe UI Emoji"/>
          <w:b/>
          <w:bCs/>
        </w:rPr>
        <w:t>💬</w:t>
      </w:r>
      <w:r w:rsidRPr="005526B1">
        <w:rPr>
          <w:b/>
          <w:bCs/>
        </w:rPr>
        <w:t xml:space="preserve"> Discussion Prompts:</w:t>
      </w:r>
    </w:p>
    <w:p w14:paraId="2192BC97" w14:textId="77777777" w:rsidR="005526B1" w:rsidRPr="005526B1" w:rsidRDefault="005526B1" w:rsidP="005526B1">
      <w:pPr>
        <w:numPr>
          <w:ilvl w:val="0"/>
          <w:numId w:val="13"/>
        </w:numPr>
      </w:pPr>
      <w:r w:rsidRPr="005526B1">
        <w:t>Should PD and ρ be adjusted for climate risk under Pillar 1?</w:t>
      </w:r>
    </w:p>
    <w:p w14:paraId="1559B277" w14:textId="77777777" w:rsidR="005526B1" w:rsidRPr="005526B1" w:rsidRDefault="005526B1" w:rsidP="005526B1">
      <w:pPr>
        <w:numPr>
          <w:ilvl w:val="0"/>
          <w:numId w:val="13"/>
        </w:numPr>
      </w:pPr>
      <w:r w:rsidRPr="005526B1">
        <w:t xml:space="preserve">Who could build and maintain a </w:t>
      </w:r>
      <w:proofErr w:type="spellStart"/>
      <w:r w:rsidRPr="005526B1">
        <w:t>ClimateMetrics</w:t>
      </w:r>
      <w:proofErr w:type="spellEnd"/>
      <w:r w:rsidRPr="005526B1">
        <w:t>™ model—regulators, academics, central banks?</w:t>
      </w:r>
    </w:p>
    <w:p w14:paraId="2D204F41" w14:textId="77777777" w:rsidR="005526B1" w:rsidRPr="005526B1" w:rsidRDefault="005526B1" w:rsidP="005526B1">
      <w:pPr>
        <w:numPr>
          <w:ilvl w:val="0"/>
          <w:numId w:val="13"/>
        </w:numPr>
      </w:pPr>
      <w:r w:rsidRPr="005526B1">
        <w:t>Could capital requirements become the financial sector’s main contribution to a just transition?</w:t>
      </w:r>
    </w:p>
    <w:p w14:paraId="4B8D4A27" w14:textId="77777777" w:rsidR="005526B1" w:rsidRPr="005526B1" w:rsidRDefault="00681AF0" w:rsidP="005526B1">
      <w:r>
        <w:pict w14:anchorId="7A6420FB">
          <v:rect id="_x0000_i1045" style="width:0;height:1.5pt" o:hralign="center" o:hrstd="t" o:hr="t" fillcolor="#a0a0a0" stroked="f"/>
        </w:pict>
      </w:r>
    </w:p>
    <w:p w14:paraId="06629655" w14:textId="77777777" w:rsidR="005526B1" w:rsidRPr="005526B1" w:rsidRDefault="005526B1" w:rsidP="005526B1">
      <w:pPr>
        <w:rPr>
          <w:b/>
          <w:bCs/>
        </w:rPr>
      </w:pPr>
      <w:r w:rsidRPr="005526B1">
        <w:rPr>
          <w:rFonts w:ascii="Segoe UI Emoji" w:hAnsi="Segoe UI Emoji" w:cs="Segoe UI Emoji"/>
          <w:b/>
          <w:bCs/>
        </w:rPr>
        <w:t>🔹</w:t>
      </w:r>
      <w:r w:rsidRPr="005526B1">
        <w:rPr>
          <w:b/>
          <w:bCs/>
        </w:rPr>
        <w:t xml:space="preserve"> Closing Line</w:t>
      </w:r>
    </w:p>
    <w:p w14:paraId="0F2DFE65" w14:textId="77777777" w:rsidR="005526B1" w:rsidRPr="005526B1" w:rsidRDefault="005526B1" w:rsidP="005526B1">
      <w:r w:rsidRPr="005526B1">
        <w:t>“These formulas changed how we saw systemic financial risk. Climate is today’s systemic risk. Let’s put it in the model.”</w:t>
      </w:r>
    </w:p>
    <w:p w14:paraId="5CC17514" w14:textId="77777777" w:rsidR="00D13C94" w:rsidRDefault="00D13C94"/>
    <w:sectPr w:rsidR="00D13C9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liam Shields" w:date="2025-06-09T14:12:00Z" w:initials="WS">
    <w:p w14:paraId="1951ED8A" w14:textId="77777777" w:rsidR="007F2E70" w:rsidRDefault="003222A0" w:rsidP="007F2E70">
      <w:pPr>
        <w:pStyle w:val="CommentText"/>
      </w:pPr>
      <w:r>
        <w:rPr>
          <w:rStyle w:val="CommentReference"/>
        </w:rPr>
        <w:annotationRef/>
      </w:r>
      <w:r w:rsidR="007F2E70">
        <w:t>It was noted in the call that this formula does not appear in CreditMetricsTM - but ChatGPT was really convinced it was! After checking myself and confirming the formula was not in there, and then a lot of pushing ChatGPT to explain its error I managed to get to this: “"Strictly speaking, CreditMetrics™ doesn't use the single-factor Vasicek decomposition. It uses a full correlation matrix across obligors when simulating joint outcomes. The cPD formula I showed is more aligned with Basel IRB, which evolved from Vasicek's 1987 formulation and was inspired in part by CreditMetrics' simulation logic. So the formula is a spiritual descendant, not a direct citation." “</w:t>
      </w:r>
    </w:p>
  </w:comment>
  <w:comment w:id="1" w:author="William Shields" w:date="2025-06-09T14:12:00Z" w:initials="WS">
    <w:p w14:paraId="3BB16A05" w14:textId="706F3B97" w:rsidR="00C70D5B" w:rsidRDefault="005978E2" w:rsidP="00C70D5B">
      <w:pPr>
        <w:pStyle w:val="CommentText"/>
      </w:pPr>
      <w:r>
        <w:rPr>
          <w:rStyle w:val="CommentReference"/>
        </w:rPr>
        <w:annotationRef/>
      </w:r>
      <w:r w:rsidR="00C70D5B">
        <w:t xml:space="preserve">It also said: “The formula you presented (with the </w:t>
      </w:r>
      <w:r w:rsidR="00C70D5B">
        <w:rPr>
          <w:lang w:val="el-GR"/>
        </w:rPr>
        <w:t>Φ</w:t>
      </w:r>
      <w:r w:rsidR="00C70D5B">
        <w:t xml:space="preserve">Φ, PD, and ρ) is widely known as the </w:t>
      </w:r>
      <w:r w:rsidR="00C70D5B">
        <w:rPr>
          <w:b/>
          <w:bCs/>
        </w:rPr>
        <w:t>Gordy-Vasicek model</w:t>
      </w:r>
      <w:r w:rsidR="00C70D5B">
        <w:t xml:space="preserve">, and it was formalized </w:t>
      </w:r>
      <w:r w:rsidR="00C70D5B">
        <w:rPr>
          <w:b/>
          <w:bCs/>
        </w:rPr>
        <w:t>after</w:t>
      </w:r>
      <w:r w:rsidR="00C70D5B">
        <w:t xml:space="preserve"> CreditMetrics, particularly in Jon Danielsson &amp; Michael Gordy’s work that underpinned </w:t>
      </w:r>
      <w:r w:rsidR="00C70D5B">
        <w:rPr>
          <w:b/>
          <w:bCs/>
        </w:rPr>
        <w:t>Basel II</w:t>
      </w:r>
      <w:r w:rsidR="00C70D5B">
        <w:t>. “</w:t>
      </w:r>
    </w:p>
  </w:comment>
  <w:comment w:id="2" w:author="William Shields" w:date="2025-06-09T14:35:00Z" w:initials="WS">
    <w:p w14:paraId="682DBD5F" w14:textId="77777777" w:rsidR="007B1E7A" w:rsidRDefault="007B1E7A" w:rsidP="007B1E7A">
      <w:pPr>
        <w:pStyle w:val="CommentText"/>
      </w:pPr>
      <w:r>
        <w:rPr>
          <w:rStyle w:val="CommentReference"/>
        </w:rPr>
        <w:annotationRef/>
      </w:r>
      <w:r>
        <w:t xml:space="preserve">So an interesting case here! ChatGPT was unable to read the document itself due to a technical issue, but was convinced from reading other texts referencing this document that the formula was in there. So it would seem I’m not the only one to mix this up 😉. </w:t>
      </w:r>
    </w:p>
  </w:comment>
  <w:comment w:id="3" w:author="William Shields" w:date="2025-06-09T14:39:00Z" w:initials="WS">
    <w:p w14:paraId="64BFE4F5" w14:textId="77777777" w:rsidR="00F31D76" w:rsidRDefault="00F31D76" w:rsidP="00F31D76">
      <w:pPr>
        <w:pStyle w:val="CommentText"/>
      </w:pPr>
      <w:r>
        <w:rPr>
          <w:rStyle w:val="CommentReference"/>
        </w:rPr>
        <w:annotationRef/>
      </w:r>
      <w:r>
        <w:t>It benefits my narrative to say the formula was in there, but alas it is not the case. Nonetheless CM is a wonderful paper, as are the works of Merton, Vasicek, Gordy and others, all of which come from an era of greater collaboration between regulators, banks and academics.</w:t>
      </w:r>
    </w:p>
  </w:comment>
  <w:comment w:id="4" w:author="William Shields" w:date="2025-06-09T14:40:00Z" w:initials="WS">
    <w:p w14:paraId="6CF6229C" w14:textId="77777777" w:rsidR="00B71756" w:rsidRDefault="00B71756" w:rsidP="00B71756">
      <w:pPr>
        <w:pStyle w:val="CommentText"/>
      </w:pPr>
      <w:r>
        <w:rPr>
          <w:rStyle w:val="CommentReference"/>
        </w:rPr>
        <w:annotationRef/>
      </w:r>
      <w:r>
        <w:t xml:space="preserve">Noted on the call that this formula is not complete as it should have expected losses removed in order to avoid double counting with Provisions. </w:t>
      </w:r>
    </w:p>
  </w:comment>
  <w:comment w:id="5" w:author="William Shields" w:date="2025-06-09T14:42:00Z" w:initials="WS">
    <w:p w14:paraId="6155DB60" w14:textId="77777777" w:rsidR="0035083A" w:rsidRDefault="00894DC9" w:rsidP="0035083A">
      <w:pPr>
        <w:pStyle w:val="CommentText"/>
      </w:pPr>
      <w:r>
        <w:rPr>
          <w:rStyle w:val="CommentReference"/>
        </w:rPr>
        <w:annotationRef/>
      </w:r>
      <w:r w:rsidR="0035083A">
        <w:t>In hindsight this paper could have made more of the difference between Provision and Capital, and the different mechanisms by which they are adjusted (PD hits provisions, PD &amp; rho hit Capital) and the impacts they have (pricing for high quality counterparties typically affected more by Rho changes, for low quality counterparties affected more by PD changes.). Though maybe that would also have been too technical given the spirit of the paper - certainly one we could pick up again if of interest.</w:t>
      </w:r>
    </w:p>
  </w:comment>
  <w:comment w:id="6" w:author="William Shields" w:date="2025-06-09T14:45:00Z" w:initials="WS">
    <w:p w14:paraId="56BA583B" w14:textId="77777777" w:rsidR="00A70AD2" w:rsidRDefault="00A70AD2" w:rsidP="00A70AD2">
      <w:pPr>
        <w:pStyle w:val="CommentText"/>
      </w:pPr>
      <w:r>
        <w:rPr>
          <w:rStyle w:val="CommentReference"/>
        </w:rPr>
        <w:annotationRef/>
      </w:r>
      <w:r>
        <w:t>We (me and ChatGPT 😉) also did not mention the Standardised capital formulas which are much simpler, i.e. just a fixed % of EAD where the % is decided by regulators, and act as an alternative to IRB.</w:t>
      </w:r>
    </w:p>
  </w:comment>
  <w:comment w:id="7" w:author="William Shields" w:date="2025-06-09T14:47:00Z" w:initials="WS">
    <w:p w14:paraId="17BA5218" w14:textId="77777777" w:rsidR="00165AD4" w:rsidRDefault="00704D8E" w:rsidP="00165AD4">
      <w:pPr>
        <w:pStyle w:val="CommentText"/>
      </w:pPr>
      <w:r>
        <w:rPr>
          <w:rStyle w:val="CommentReference"/>
        </w:rPr>
        <w:annotationRef/>
      </w:r>
      <w:r w:rsidR="00165AD4">
        <w:t>It was noted on the call that there is a trend towards preferred use of Standardised. ChatGPT believes this is true for the US, while the EU remains pro IRB, and the UK sits somewhere in the middle, which aligns with my personal observations (of the UK and EU).</w:t>
      </w:r>
    </w:p>
  </w:comment>
  <w:comment w:id="8" w:author="William Shields" w:date="2025-06-09T14:49:00Z" w:initials="WS">
    <w:p w14:paraId="7D59D3A7" w14:textId="77777777" w:rsidR="000E540F" w:rsidRDefault="000E540F" w:rsidP="000E540F">
      <w:pPr>
        <w:pStyle w:val="CommentText"/>
      </w:pPr>
      <w:r>
        <w:rPr>
          <w:rStyle w:val="CommentReference"/>
        </w:rPr>
        <w:annotationRef/>
      </w:r>
      <w:r>
        <w:t>It was asked on the call if Actuary disaster pricing could be used here. The response I gave at the time was: yes very relevant, but maybe more to LGD than PD and Rho, as Insurance firms are interested in cost of the disaster, not whether the disaster will force a firm into default (in fact their insurance payment could prevent default).</w:t>
      </w:r>
    </w:p>
  </w:comment>
  <w:comment w:id="9" w:author="William Shields" w:date="2025-06-09T14:57:00Z" w:initials="WS">
    <w:p w14:paraId="23CCEE25" w14:textId="77777777" w:rsidR="002F1BAE" w:rsidRDefault="002F1BAE" w:rsidP="002F1BAE">
      <w:pPr>
        <w:pStyle w:val="CommentText"/>
      </w:pPr>
      <w:r>
        <w:rPr>
          <w:rStyle w:val="CommentReference"/>
        </w:rPr>
        <w:annotationRef/>
      </w:r>
      <w:r>
        <w:t>It was noted here that a recent paper has laid out the probability of some of these climate scenarios, which could be used to reverse engineer the implied increase in correlations (as long as we also know impact of scenarios on PDs, and we can deal with the timing problem i.e. these climate defaults unlikely in the next 12 months).</w:t>
      </w:r>
    </w:p>
  </w:comment>
  <w:comment w:id="10" w:author="William Shields" w:date="2025-06-09T14:53:00Z" w:initials="WS">
    <w:p w14:paraId="6945AD8F" w14:textId="1815BCF3" w:rsidR="00906FCE" w:rsidRDefault="00A4625A" w:rsidP="00906FCE">
      <w:pPr>
        <w:pStyle w:val="CommentText"/>
      </w:pPr>
      <w:r>
        <w:rPr>
          <w:rStyle w:val="CommentReference"/>
        </w:rPr>
        <w:annotationRef/>
      </w:r>
      <w:r w:rsidR="00906FCE">
        <w:t xml:space="preserve">We noted here that PDs and Rho are one year look ahead parameters, whereas Climate impacts would take many more years and (for now) have small impacts over the next 12 months. Thus to make this bite in the present (and thus avoid lending to polluting firms) we might have to ask questions like what would happen over the next 50 years if you were forced to keep these exposures on your book exactly as they are. </w:t>
      </w:r>
    </w:p>
  </w:comment>
  <w:comment w:id="11" w:author="William Shields" w:date="2025-06-09T14:53:00Z" w:initials="WS">
    <w:p w14:paraId="4B2C3800" w14:textId="77777777" w:rsidR="00906FCE" w:rsidRDefault="00A4625A" w:rsidP="00906FCE">
      <w:pPr>
        <w:pStyle w:val="CommentText"/>
      </w:pPr>
      <w:r>
        <w:rPr>
          <w:rStyle w:val="CommentReference"/>
        </w:rPr>
        <w:annotationRef/>
      </w:r>
      <w:r w:rsidR="00906FCE">
        <w:t xml:space="preserve">This would imply that a firm must pay for the future impact of its current actions in the present and cannot duck its responsibilities by exiting a sector after it has done the damage. </w:t>
      </w:r>
    </w:p>
  </w:comment>
  <w:comment w:id="12" w:author="William Shields" w:date="2025-06-09T14:55:00Z" w:initials="WS">
    <w:p w14:paraId="793C1829" w14:textId="77777777" w:rsidR="00CF16FA" w:rsidRDefault="005D2FDA" w:rsidP="00CF16FA">
      <w:pPr>
        <w:pStyle w:val="CommentText"/>
      </w:pPr>
      <w:r>
        <w:rPr>
          <w:rStyle w:val="CommentReference"/>
        </w:rPr>
        <w:annotationRef/>
      </w:r>
      <w:r w:rsidR="00CF16FA">
        <w:t>Thinking about this again though, it could be argued this has nothing to do with the risk profile of a firm and everything to do with setting incentives - in which case why not just increase PD and rho (or standardised risk weights) by some arbitrary function of a firm’s emissions in order to set the correct incentive?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51ED8A" w15:done="0"/>
  <w15:commentEx w15:paraId="3BB16A05" w15:paraIdParent="1951ED8A" w15:done="0"/>
  <w15:commentEx w15:paraId="682DBD5F" w15:paraIdParent="1951ED8A" w15:done="0"/>
  <w15:commentEx w15:paraId="64BFE4F5" w15:paraIdParent="1951ED8A" w15:done="0"/>
  <w15:commentEx w15:paraId="6CF6229C" w15:done="0"/>
  <w15:commentEx w15:paraId="6155DB60" w15:paraIdParent="6CF6229C" w15:done="0"/>
  <w15:commentEx w15:paraId="56BA583B" w15:paraIdParent="6CF6229C" w15:done="0"/>
  <w15:commentEx w15:paraId="17BA5218" w15:paraIdParent="6CF6229C" w15:done="0"/>
  <w15:commentEx w15:paraId="7D59D3A7" w15:done="0"/>
  <w15:commentEx w15:paraId="23CCEE25" w15:done="0"/>
  <w15:commentEx w15:paraId="6945AD8F" w15:done="0"/>
  <w15:commentEx w15:paraId="4B2C3800" w15:paraIdParent="6945AD8F" w15:done="0"/>
  <w15:commentEx w15:paraId="793C1829" w15:paraIdParent="6945AD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E9E71B" w16cex:dateUtc="2025-06-09T13:12:00Z"/>
  <w16cex:commentExtensible w16cex:durableId="51D12345" w16cex:dateUtc="2025-06-09T13:12:00Z"/>
  <w16cex:commentExtensible w16cex:durableId="0D0D39D2" w16cex:dateUtc="2025-06-09T13:35:00Z"/>
  <w16cex:commentExtensible w16cex:durableId="52D3CE80" w16cex:dateUtc="2025-06-09T13:39:00Z"/>
  <w16cex:commentExtensible w16cex:durableId="1127D2DE" w16cex:dateUtc="2025-06-09T13:40:00Z"/>
  <w16cex:commentExtensible w16cex:durableId="6520BC1C" w16cex:dateUtc="2025-06-09T13:42:00Z"/>
  <w16cex:commentExtensible w16cex:durableId="20CD8817" w16cex:dateUtc="2025-06-09T13:45:00Z"/>
  <w16cex:commentExtensible w16cex:durableId="393E13B1" w16cex:dateUtc="2025-06-09T13:47:00Z"/>
  <w16cex:commentExtensible w16cex:durableId="0F28C780" w16cex:dateUtc="2025-06-09T13:49:00Z"/>
  <w16cex:commentExtensible w16cex:durableId="66483108" w16cex:dateUtc="2025-06-09T13:57:00Z"/>
  <w16cex:commentExtensible w16cex:durableId="7CC43823" w16cex:dateUtc="2025-06-09T13:53:00Z"/>
  <w16cex:commentExtensible w16cex:durableId="518B265F" w16cex:dateUtc="2025-06-09T13:53:00Z"/>
  <w16cex:commentExtensible w16cex:durableId="698D1D6D" w16cex:dateUtc="2025-06-09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51ED8A" w16cid:durableId="4AE9E71B"/>
  <w16cid:commentId w16cid:paraId="3BB16A05" w16cid:durableId="51D12345"/>
  <w16cid:commentId w16cid:paraId="682DBD5F" w16cid:durableId="0D0D39D2"/>
  <w16cid:commentId w16cid:paraId="64BFE4F5" w16cid:durableId="52D3CE80"/>
  <w16cid:commentId w16cid:paraId="6CF6229C" w16cid:durableId="1127D2DE"/>
  <w16cid:commentId w16cid:paraId="6155DB60" w16cid:durableId="6520BC1C"/>
  <w16cid:commentId w16cid:paraId="56BA583B" w16cid:durableId="20CD8817"/>
  <w16cid:commentId w16cid:paraId="17BA5218" w16cid:durableId="393E13B1"/>
  <w16cid:commentId w16cid:paraId="7D59D3A7" w16cid:durableId="0F28C780"/>
  <w16cid:commentId w16cid:paraId="23CCEE25" w16cid:durableId="66483108"/>
  <w16cid:commentId w16cid:paraId="6945AD8F" w16cid:durableId="7CC43823"/>
  <w16cid:commentId w16cid:paraId="4B2C3800" w16cid:durableId="518B265F"/>
  <w16cid:commentId w16cid:paraId="793C1829" w16cid:durableId="698D1D6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3005"/>
    <w:multiLevelType w:val="multilevel"/>
    <w:tmpl w:val="FE14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C2FEA"/>
    <w:multiLevelType w:val="multilevel"/>
    <w:tmpl w:val="DBCA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D6B20"/>
    <w:multiLevelType w:val="multilevel"/>
    <w:tmpl w:val="E422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F3714"/>
    <w:multiLevelType w:val="multilevel"/>
    <w:tmpl w:val="8D66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C075E"/>
    <w:multiLevelType w:val="multilevel"/>
    <w:tmpl w:val="9858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B3608"/>
    <w:multiLevelType w:val="multilevel"/>
    <w:tmpl w:val="2FDA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B3DAA"/>
    <w:multiLevelType w:val="multilevel"/>
    <w:tmpl w:val="DD3A7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7F3D21"/>
    <w:multiLevelType w:val="multilevel"/>
    <w:tmpl w:val="92F4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1C55B7"/>
    <w:multiLevelType w:val="multilevel"/>
    <w:tmpl w:val="4744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757B8"/>
    <w:multiLevelType w:val="multilevel"/>
    <w:tmpl w:val="D76E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5048A2"/>
    <w:multiLevelType w:val="multilevel"/>
    <w:tmpl w:val="657A8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F342EB"/>
    <w:multiLevelType w:val="multilevel"/>
    <w:tmpl w:val="E9E4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54C44"/>
    <w:multiLevelType w:val="multilevel"/>
    <w:tmpl w:val="2890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AB5248"/>
    <w:multiLevelType w:val="multilevel"/>
    <w:tmpl w:val="BCB06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476384"/>
    <w:multiLevelType w:val="multilevel"/>
    <w:tmpl w:val="1652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18340D"/>
    <w:multiLevelType w:val="multilevel"/>
    <w:tmpl w:val="44DC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766399"/>
    <w:multiLevelType w:val="multilevel"/>
    <w:tmpl w:val="6B96E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5470CF"/>
    <w:multiLevelType w:val="multilevel"/>
    <w:tmpl w:val="FA08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732170">
    <w:abstractNumId w:val="11"/>
  </w:num>
  <w:num w:numId="2" w16cid:durableId="2122409758">
    <w:abstractNumId w:val="10"/>
  </w:num>
  <w:num w:numId="3" w16cid:durableId="758137266">
    <w:abstractNumId w:val="8"/>
  </w:num>
  <w:num w:numId="4" w16cid:durableId="1599943569">
    <w:abstractNumId w:val="4"/>
  </w:num>
  <w:num w:numId="5" w16cid:durableId="2117361953">
    <w:abstractNumId w:val="16"/>
  </w:num>
  <w:num w:numId="6" w16cid:durableId="1373186356">
    <w:abstractNumId w:val="9"/>
  </w:num>
  <w:num w:numId="7" w16cid:durableId="1918204106">
    <w:abstractNumId w:val="15"/>
  </w:num>
  <w:num w:numId="8" w16cid:durableId="1930040649">
    <w:abstractNumId w:val="1"/>
  </w:num>
  <w:num w:numId="9" w16cid:durableId="1319845379">
    <w:abstractNumId w:val="2"/>
  </w:num>
  <w:num w:numId="10" w16cid:durableId="110825414">
    <w:abstractNumId w:val="5"/>
  </w:num>
  <w:num w:numId="11" w16cid:durableId="503592465">
    <w:abstractNumId w:val="12"/>
  </w:num>
  <w:num w:numId="12" w16cid:durableId="532425775">
    <w:abstractNumId w:val="3"/>
  </w:num>
  <w:num w:numId="13" w16cid:durableId="84152995">
    <w:abstractNumId w:val="6"/>
  </w:num>
  <w:num w:numId="14" w16cid:durableId="1459184912">
    <w:abstractNumId w:val="17"/>
  </w:num>
  <w:num w:numId="15" w16cid:durableId="2057314136">
    <w:abstractNumId w:val="0"/>
  </w:num>
  <w:num w:numId="16" w16cid:durableId="89012564">
    <w:abstractNumId w:val="7"/>
  </w:num>
  <w:num w:numId="17" w16cid:durableId="351029355">
    <w:abstractNumId w:val="14"/>
  </w:num>
  <w:num w:numId="18" w16cid:durableId="64238979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 Shields">
    <w15:presenceInfo w15:providerId="Windows Live" w15:userId="b06b6254f0f36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B1"/>
    <w:rsid w:val="000E540F"/>
    <w:rsid w:val="0013639E"/>
    <w:rsid w:val="00165AD4"/>
    <w:rsid w:val="001C53ED"/>
    <w:rsid w:val="00277935"/>
    <w:rsid w:val="002F1BAE"/>
    <w:rsid w:val="003222A0"/>
    <w:rsid w:val="0035083A"/>
    <w:rsid w:val="004C18B0"/>
    <w:rsid w:val="005526B1"/>
    <w:rsid w:val="005978E2"/>
    <w:rsid w:val="005D2FDA"/>
    <w:rsid w:val="00641A3A"/>
    <w:rsid w:val="006E73C3"/>
    <w:rsid w:val="00704D8E"/>
    <w:rsid w:val="007B1E7A"/>
    <w:rsid w:val="007C7A45"/>
    <w:rsid w:val="007F2E70"/>
    <w:rsid w:val="00844889"/>
    <w:rsid w:val="00894DC9"/>
    <w:rsid w:val="00906FCE"/>
    <w:rsid w:val="009921C8"/>
    <w:rsid w:val="00A4625A"/>
    <w:rsid w:val="00A70AD2"/>
    <w:rsid w:val="00B33A57"/>
    <w:rsid w:val="00B62A32"/>
    <w:rsid w:val="00B71756"/>
    <w:rsid w:val="00C30114"/>
    <w:rsid w:val="00C70D5B"/>
    <w:rsid w:val="00C808C6"/>
    <w:rsid w:val="00CF16FA"/>
    <w:rsid w:val="00D04052"/>
    <w:rsid w:val="00D13C94"/>
    <w:rsid w:val="00E6742D"/>
    <w:rsid w:val="00EB421C"/>
    <w:rsid w:val="00F26AF1"/>
    <w:rsid w:val="00F31D76"/>
    <w:rsid w:val="00FF01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5C1D16FF"/>
  <w15:chartTrackingRefBased/>
  <w15:docId w15:val="{055F51C8-184E-4831-8247-8C1F6516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22A0"/>
    <w:rPr>
      <w:sz w:val="16"/>
      <w:szCs w:val="16"/>
    </w:rPr>
  </w:style>
  <w:style w:type="paragraph" w:styleId="CommentText">
    <w:name w:val="annotation text"/>
    <w:basedOn w:val="Normal"/>
    <w:link w:val="CommentTextChar"/>
    <w:uiPriority w:val="99"/>
    <w:unhideWhenUsed/>
    <w:rsid w:val="003222A0"/>
    <w:pPr>
      <w:spacing w:line="240" w:lineRule="auto"/>
    </w:pPr>
    <w:rPr>
      <w:sz w:val="20"/>
      <w:szCs w:val="20"/>
    </w:rPr>
  </w:style>
  <w:style w:type="character" w:customStyle="1" w:styleId="CommentTextChar">
    <w:name w:val="Comment Text Char"/>
    <w:basedOn w:val="DefaultParagraphFont"/>
    <w:link w:val="CommentText"/>
    <w:uiPriority w:val="99"/>
    <w:rsid w:val="003222A0"/>
    <w:rPr>
      <w:sz w:val="20"/>
      <w:szCs w:val="20"/>
    </w:rPr>
  </w:style>
  <w:style w:type="paragraph" w:styleId="CommentSubject">
    <w:name w:val="annotation subject"/>
    <w:basedOn w:val="CommentText"/>
    <w:next w:val="CommentText"/>
    <w:link w:val="CommentSubjectChar"/>
    <w:uiPriority w:val="99"/>
    <w:semiHidden/>
    <w:unhideWhenUsed/>
    <w:rsid w:val="003222A0"/>
    <w:rPr>
      <w:b/>
      <w:bCs/>
    </w:rPr>
  </w:style>
  <w:style w:type="character" w:customStyle="1" w:styleId="CommentSubjectChar">
    <w:name w:val="Comment Subject Char"/>
    <w:basedOn w:val="CommentTextChar"/>
    <w:link w:val="CommentSubject"/>
    <w:uiPriority w:val="99"/>
    <w:semiHidden/>
    <w:rsid w:val="003222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1090">
      <w:bodyDiv w:val="1"/>
      <w:marLeft w:val="0"/>
      <w:marRight w:val="0"/>
      <w:marTop w:val="0"/>
      <w:marBottom w:val="0"/>
      <w:divBdr>
        <w:top w:val="none" w:sz="0" w:space="0" w:color="auto"/>
        <w:left w:val="none" w:sz="0" w:space="0" w:color="auto"/>
        <w:bottom w:val="none" w:sz="0" w:space="0" w:color="auto"/>
        <w:right w:val="none" w:sz="0" w:space="0" w:color="auto"/>
      </w:divBdr>
      <w:divsChild>
        <w:div w:id="87315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265346">
          <w:blockQuote w:val="1"/>
          <w:marLeft w:val="720"/>
          <w:marRight w:val="720"/>
          <w:marTop w:val="100"/>
          <w:marBottom w:val="100"/>
          <w:divBdr>
            <w:top w:val="none" w:sz="0" w:space="0" w:color="auto"/>
            <w:left w:val="none" w:sz="0" w:space="0" w:color="auto"/>
            <w:bottom w:val="none" w:sz="0" w:space="0" w:color="auto"/>
            <w:right w:val="none" w:sz="0" w:space="0" w:color="auto"/>
          </w:divBdr>
        </w:div>
        <w:div w:id="646007316">
          <w:blockQuote w:val="1"/>
          <w:marLeft w:val="720"/>
          <w:marRight w:val="720"/>
          <w:marTop w:val="100"/>
          <w:marBottom w:val="100"/>
          <w:divBdr>
            <w:top w:val="none" w:sz="0" w:space="0" w:color="auto"/>
            <w:left w:val="none" w:sz="0" w:space="0" w:color="auto"/>
            <w:bottom w:val="none" w:sz="0" w:space="0" w:color="auto"/>
            <w:right w:val="none" w:sz="0" w:space="0" w:color="auto"/>
          </w:divBdr>
        </w:div>
        <w:div w:id="782592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83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675325">
      <w:bodyDiv w:val="1"/>
      <w:marLeft w:val="0"/>
      <w:marRight w:val="0"/>
      <w:marTop w:val="0"/>
      <w:marBottom w:val="0"/>
      <w:divBdr>
        <w:top w:val="none" w:sz="0" w:space="0" w:color="auto"/>
        <w:left w:val="none" w:sz="0" w:space="0" w:color="auto"/>
        <w:bottom w:val="none" w:sz="0" w:space="0" w:color="auto"/>
        <w:right w:val="none" w:sz="0" w:space="0" w:color="auto"/>
      </w:divBdr>
      <w:divsChild>
        <w:div w:id="1538006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20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09732">
          <w:blockQuote w:val="1"/>
          <w:marLeft w:val="720"/>
          <w:marRight w:val="720"/>
          <w:marTop w:val="100"/>
          <w:marBottom w:val="100"/>
          <w:divBdr>
            <w:top w:val="none" w:sz="0" w:space="0" w:color="auto"/>
            <w:left w:val="none" w:sz="0" w:space="0" w:color="auto"/>
            <w:bottom w:val="none" w:sz="0" w:space="0" w:color="auto"/>
            <w:right w:val="none" w:sz="0" w:space="0" w:color="auto"/>
          </w:divBdr>
        </w:div>
        <w:div w:id="809370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4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9080723">
      <w:bodyDiv w:val="1"/>
      <w:marLeft w:val="0"/>
      <w:marRight w:val="0"/>
      <w:marTop w:val="0"/>
      <w:marBottom w:val="0"/>
      <w:divBdr>
        <w:top w:val="none" w:sz="0" w:space="0" w:color="auto"/>
        <w:left w:val="none" w:sz="0" w:space="0" w:color="auto"/>
        <w:bottom w:val="none" w:sz="0" w:space="0" w:color="auto"/>
        <w:right w:val="none" w:sz="0" w:space="0" w:color="auto"/>
      </w:divBdr>
      <w:divsChild>
        <w:div w:id="22145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86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334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661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160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3954403">
      <w:bodyDiv w:val="1"/>
      <w:marLeft w:val="0"/>
      <w:marRight w:val="0"/>
      <w:marTop w:val="0"/>
      <w:marBottom w:val="0"/>
      <w:divBdr>
        <w:top w:val="none" w:sz="0" w:space="0" w:color="auto"/>
        <w:left w:val="none" w:sz="0" w:space="0" w:color="auto"/>
        <w:bottom w:val="none" w:sz="0" w:space="0" w:color="auto"/>
        <w:right w:val="none" w:sz="0" w:space="0" w:color="auto"/>
      </w:divBdr>
      <w:divsChild>
        <w:div w:id="18554162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73873">
          <w:blockQuote w:val="1"/>
          <w:marLeft w:val="720"/>
          <w:marRight w:val="720"/>
          <w:marTop w:val="100"/>
          <w:marBottom w:val="100"/>
          <w:divBdr>
            <w:top w:val="none" w:sz="0" w:space="0" w:color="auto"/>
            <w:left w:val="none" w:sz="0" w:space="0" w:color="auto"/>
            <w:bottom w:val="none" w:sz="0" w:space="0" w:color="auto"/>
            <w:right w:val="none" w:sz="0" w:space="0" w:color="auto"/>
          </w:divBdr>
        </w:div>
        <w:div w:id="64817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4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474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447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4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82254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72576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12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09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742533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83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431901">
          <w:blockQuote w:val="1"/>
          <w:marLeft w:val="720"/>
          <w:marRight w:val="720"/>
          <w:marTop w:val="100"/>
          <w:marBottom w:val="100"/>
          <w:divBdr>
            <w:top w:val="none" w:sz="0" w:space="0" w:color="auto"/>
            <w:left w:val="none" w:sz="0" w:space="0" w:color="auto"/>
            <w:bottom w:val="none" w:sz="0" w:space="0" w:color="auto"/>
            <w:right w:val="none" w:sz="0" w:space="0" w:color="auto"/>
          </w:divBdr>
        </w:div>
        <w:div w:id="620572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534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461">
          <w:blockQuote w:val="1"/>
          <w:marLeft w:val="720"/>
          <w:marRight w:val="720"/>
          <w:marTop w:val="100"/>
          <w:marBottom w:val="100"/>
          <w:divBdr>
            <w:top w:val="none" w:sz="0" w:space="0" w:color="auto"/>
            <w:left w:val="none" w:sz="0" w:space="0" w:color="auto"/>
            <w:bottom w:val="none" w:sz="0" w:space="0" w:color="auto"/>
            <w:right w:val="none" w:sz="0" w:space="0" w:color="auto"/>
          </w:divBdr>
        </w:div>
        <w:div w:id="804353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961576">
      <w:bodyDiv w:val="1"/>
      <w:marLeft w:val="0"/>
      <w:marRight w:val="0"/>
      <w:marTop w:val="0"/>
      <w:marBottom w:val="0"/>
      <w:divBdr>
        <w:top w:val="none" w:sz="0" w:space="0" w:color="auto"/>
        <w:left w:val="none" w:sz="0" w:space="0" w:color="auto"/>
        <w:bottom w:val="none" w:sz="0" w:space="0" w:color="auto"/>
        <w:right w:val="none" w:sz="0" w:space="0" w:color="auto"/>
      </w:divBdr>
      <w:divsChild>
        <w:div w:id="1895653109">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8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802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828832">
          <w:blockQuote w:val="1"/>
          <w:marLeft w:val="720"/>
          <w:marRight w:val="720"/>
          <w:marTop w:val="100"/>
          <w:marBottom w:val="100"/>
          <w:divBdr>
            <w:top w:val="none" w:sz="0" w:space="0" w:color="auto"/>
            <w:left w:val="none" w:sz="0" w:space="0" w:color="auto"/>
            <w:bottom w:val="none" w:sz="0" w:space="0" w:color="auto"/>
            <w:right w:val="none" w:sz="0" w:space="0" w:color="auto"/>
          </w:divBdr>
        </w:div>
        <w:div w:id="559170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954507">
      <w:bodyDiv w:val="1"/>
      <w:marLeft w:val="0"/>
      <w:marRight w:val="0"/>
      <w:marTop w:val="0"/>
      <w:marBottom w:val="0"/>
      <w:divBdr>
        <w:top w:val="none" w:sz="0" w:space="0" w:color="auto"/>
        <w:left w:val="none" w:sz="0" w:space="0" w:color="auto"/>
        <w:bottom w:val="none" w:sz="0" w:space="0" w:color="auto"/>
        <w:right w:val="none" w:sz="0" w:space="0" w:color="auto"/>
      </w:divBdr>
      <w:divsChild>
        <w:div w:id="64227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60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88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38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381777">
          <w:blockQuote w:val="1"/>
          <w:marLeft w:val="720"/>
          <w:marRight w:val="720"/>
          <w:marTop w:val="100"/>
          <w:marBottom w:val="100"/>
          <w:divBdr>
            <w:top w:val="none" w:sz="0" w:space="0" w:color="auto"/>
            <w:left w:val="none" w:sz="0" w:space="0" w:color="auto"/>
            <w:bottom w:val="none" w:sz="0" w:space="0" w:color="auto"/>
            <w:right w:val="none" w:sz="0" w:space="0" w:color="auto"/>
          </w:divBdr>
        </w:div>
        <w:div w:id="436557507">
          <w:blockQuote w:val="1"/>
          <w:marLeft w:val="720"/>
          <w:marRight w:val="720"/>
          <w:marTop w:val="100"/>
          <w:marBottom w:val="100"/>
          <w:divBdr>
            <w:top w:val="none" w:sz="0" w:space="0" w:color="auto"/>
            <w:left w:val="none" w:sz="0" w:space="0" w:color="auto"/>
            <w:bottom w:val="none" w:sz="0" w:space="0" w:color="auto"/>
            <w:right w:val="none" w:sz="0" w:space="0" w:color="auto"/>
          </w:divBdr>
        </w:div>
        <w:div w:id="662585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868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332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225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762623">
          <w:blockQuote w:val="1"/>
          <w:marLeft w:val="720"/>
          <w:marRight w:val="720"/>
          <w:marTop w:val="100"/>
          <w:marBottom w:val="100"/>
          <w:divBdr>
            <w:top w:val="none" w:sz="0" w:space="0" w:color="auto"/>
            <w:left w:val="none" w:sz="0" w:space="0" w:color="auto"/>
            <w:bottom w:val="none" w:sz="0" w:space="0" w:color="auto"/>
            <w:right w:val="none" w:sz="0" w:space="0" w:color="auto"/>
          </w:divBdr>
        </w:div>
        <w:div w:id="574515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262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84063">
          <w:blockQuote w:val="1"/>
          <w:marLeft w:val="720"/>
          <w:marRight w:val="720"/>
          <w:marTop w:val="100"/>
          <w:marBottom w:val="100"/>
          <w:divBdr>
            <w:top w:val="none" w:sz="0" w:space="0" w:color="auto"/>
            <w:left w:val="none" w:sz="0" w:space="0" w:color="auto"/>
            <w:bottom w:val="none" w:sz="0" w:space="0" w:color="auto"/>
            <w:right w:val="none" w:sz="0" w:space="0" w:color="auto"/>
          </w:divBdr>
        </w:div>
        <w:div w:id="968390897">
          <w:blockQuote w:val="1"/>
          <w:marLeft w:val="720"/>
          <w:marRight w:val="720"/>
          <w:marTop w:val="100"/>
          <w:marBottom w:val="100"/>
          <w:divBdr>
            <w:top w:val="none" w:sz="0" w:space="0" w:color="auto"/>
            <w:left w:val="none" w:sz="0" w:space="0" w:color="auto"/>
            <w:bottom w:val="none" w:sz="0" w:space="0" w:color="auto"/>
            <w:right w:val="none" w:sz="0" w:space="0" w:color="auto"/>
          </w:divBdr>
        </w:div>
        <w:div w:id="321855277">
          <w:blockQuote w:val="1"/>
          <w:marLeft w:val="720"/>
          <w:marRight w:val="720"/>
          <w:marTop w:val="100"/>
          <w:marBottom w:val="100"/>
          <w:divBdr>
            <w:top w:val="none" w:sz="0" w:space="0" w:color="auto"/>
            <w:left w:val="none" w:sz="0" w:space="0" w:color="auto"/>
            <w:bottom w:val="none" w:sz="0" w:space="0" w:color="auto"/>
            <w:right w:val="none" w:sz="0" w:space="0" w:color="auto"/>
          </w:divBdr>
        </w:div>
        <w:div w:id="6449963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6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682900">
      <w:bodyDiv w:val="1"/>
      <w:marLeft w:val="0"/>
      <w:marRight w:val="0"/>
      <w:marTop w:val="0"/>
      <w:marBottom w:val="0"/>
      <w:divBdr>
        <w:top w:val="none" w:sz="0" w:space="0" w:color="auto"/>
        <w:left w:val="none" w:sz="0" w:space="0" w:color="auto"/>
        <w:bottom w:val="none" w:sz="0" w:space="0" w:color="auto"/>
        <w:right w:val="none" w:sz="0" w:space="0" w:color="auto"/>
      </w:divBdr>
      <w:divsChild>
        <w:div w:id="1925676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576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749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33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5016215">
      <w:bodyDiv w:val="1"/>
      <w:marLeft w:val="0"/>
      <w:marRight w:val="0"/>
      <w:marTop w:val="0"/>
      <w:marBottom w:val="0"/>
      <w:divBdr>
        <w:top w:val="none" w:sz="0" w:space="0" w:color="auto"/>
        <w:left w:val="none" w:sz="0" w:space="0" w:color="auto"/>
        <w:bottom w:val="none" w:sz="0" w:space="0" w:color="auto"/>
        <w:right w:val="none" w:sz="0" w:space="0" w:color="auto"/>
      </w:divBdr>
      <w:divsChild>
        <w:div w:id="662784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906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28829065">
          <w:blockQuote w:val="1"/>
          <w:marLeft w:val="720"/>
          <w:marRight w:val="720"/>
          <w:marTop w:val="100"/>
          <w:marBottom w:val="100"/>
          <w:divBdr>
            <w:top w:val="none" w:sz="0" w:space="0" w:color="auto"/>
            <w:left w:val="none" w:sz="0" w:space="0" w:color="auto"/>
            <w:bottom w:val="none" w:sz="0" w:space="0" w:color="auto"/>
            <w:right w:val="none" w:sz="0" w:space="0" w:color="auto"/>
          </w:divBdr>
        </w:div>
        <w:div w:id="719061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691026-f321-4fde-a589-3f90acb4dc03">
      <Terms xmlns="http://schemas.microsoft.com/office/infopath/2007/PartnerControls"/>
    </lcf76f155ced4ddcb4097134ff3c332f>
    <TaxCatchAll xmlns="d8e806a1-77ac-43e4-9592-64b2a2eaf074" xsi:nil="true"/>
    <Relevance xmlns="fa691026-f321-4fde-a589-3f90acb4dc03">To Read</Relev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3133205AA4204595F6A6D942EDA580" ma:contentTypeVersion="19" ma:contentTypeDescription="Create a new document." ma:contentTypeScope="" ma:versionID="f47e70ebe28efb141b5a3ca54a9502ce">
  <xsd:schema xmlns:xsd="http://www.w3.org/2001/XMLSchema" xmlns:xs="http://www.w3.org/2001/XMLSchema" xmlns:p="http://schemas.microsoft.com/office/2006/metadata/properties" xmlns:ns2="fa691026-f321-4fde-a589-3f90acb4dc03" xmlns:ns3="d8e806a1-77ac-43e4-9592-64b2a2eaf074" targetNamespace="http://schemas.microsoft.com/office/2006/metadata/properties" ma:root="true" ma:fieldsID="5341fde0c15d2224b2ed3f346f34c8db" ns2:_="" ns3:_="">
    <xsd:import namespace="fa691026-f321-4fde-a589-3f90acb4dc03"/>
    <xsd:import namespace="d8e806a1-77ac-43e4-9592-64b2a2eaf0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Relevanc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91026-f321-4fde-a589-3f90acb4d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Relevance" ma:index="21" nillable="true" ma:displayName="Relevance" ma:default="To Read" ma:internalName="Relevance">
      <xsd:simpleType>
        <xsd:restriction base="dms:Unknown">
          <xsd:enumeration value="Read"/>
          <xsd:enumeration value="To Read"/>
          <xsd:enumeration value="To include in CRA"/>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e806a1-77ac-43e4-9592-64b2a2eaf0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a159b22-6aba-4df6-97e1-f513df1cad82}" ma:internalName="TaxCatchAll" ma:showField="CatchAllData" ma:web="d8e806a1-77ac-43e4-9592-64b2a2eaf0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86D49-1759-44DE-BE72-827593E94938}">
  <ds:schemaRefs>
    <ds:schemaRef ds:uri="http://www.w3.org/XML/1998/namespace"/>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elements/1.1/"/>
    <ds:schemaRef ds:uri="d8e806a1-77ac-43e4-9592-64b2a2eaf074"/>
    <ds:schemaRef ds:uri="fa691026-f321-4fde-a589-3f90acb4dc03"/>
  </ds:schemaRefs>
</ds:datastoreItem>
</file>

<file path=customXml/itemProps2.xml><?xml version="1.0" encoding="utf-8"?>
<ds:datastoreItem xmlns:ds="http://schemas.openxmlformats.org/officeDocument/2006/customXml" ds:itemID="{14F5E584-A23F-4F9A-A954-ABFA1B936488}">
  <ds:schemaRefs>
    <ds:schemaRef ds:uri="http://schemas.microsoft.com/sharepoint/v3/contenttype/forms"/>
  </ds:schemaRefs>
</ds:datastoreItem>
</file>

<file path=customXml/itemProps3.xml><?xml version="1.0" encoding="utf-8"?>
<ds:datastoreItem xmlns:ds="http://schemas.openxmlformats.org/officeDocument/2006/customXml" ds:itemID="{52F0C960-199D-45F4-BCFE-71B8B393C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91026-f321-4fde-a589-3f90acb4dc03"/>
    <ds:schemaRef ds:uri="d8e806a1-77ac-43e4-9592-64b2a2eaf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MCRILG June 2025 session_Will Sheilds_AI generated document</dc:title>
  <dc:subject/>
  <dc:creator>William Shields</dc:creator>
  <cp:keywords/>
  <dc:description/>
  <cp:lastModifiedBy>Konstantina Pratta</cp:lastModifiedBy>
  <cp:revision>5</cp:revision>
  <dcterms:created xsi:type="dcterms:W3CDTF">2025-06-09T16:28:00Z</dcterms:created>
  <dcterms:modified xsi:type="dcterms:W3CDTF">2025-06-10T10:15:00Z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0x010100633133205AA4204595F6A6D942EDA580</vt:lpwstr>
  </property>
  <property fmtid="{D5CDD505-2E9C-101B-9397-08002B2CF9AE}" pid="3" name="MediaServiceImageTags">
    <vt:lpwstr/>
  </property>
</Properties>
</file>